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D26D" w14:textId="77777777" w:rsidR="005B13D0" w:rsidRDefault="005B13D0" w:rsidP="005B13D0">
      <w:pPr>
        <w:keepNext/>
        <w:keepLines/>
        <w:spacing w:before="200"/>
        <w:ind w:left="1797" w:hanging="1797"/>
        <w:jc w:val="center"/>
        <w:outlineLvl w:val="0"/>
        <w:rPr>
          <w:rFonts w:ascii="Times New Roman Bold" w:eastAsia="MS Gothic" w:hAnsi="Times New Roman Bold" w:cs="Times New Roman"/>
          <w:b/>
          <w:bCs/>
          <w:caps/>
          <w:szCs w:val="28"/>
          <w:u w:val="single"/>
        </w:rPr>
      </w:pPr>
      <w:bookmarkStart w:id="0" w:name="_Toc218850006"/>
      <w:r w:rsidRPr="005B13D0">
        <w:rPr>
          <w:rFonts w:ascii="Times New Roman Bold" w:eastAsia="MS Gothic" w:hAnsi="Times New Roman Bold" w:cs="Times New Roman"/>
          <w:b/>
          <w:bCs/>
          <w:caps/>
          <w:szCs w:val="28"/>
          <w:u w:val="single"/>
        </w:rPr>
        <w:t>ANNEX 5 - SPECIFIC RULES</w:t>
      </w:r>
      <w:bookmarkEnd w:id="0"/>
    </w:p>
    <w:p w14:paraId="70EC5FE3" w14:textId="77777777" w:rsidR="00B818DC" w:rsidRPr="005B13D0" w:rsidRDefault="00B818DC" w:rsidP="005B13D0">
      <w:pPr>
        <w:keepNext/>
        <w:keepLines/>
        <w:spacing w:before="200"/>
        <w:ind w:left="1797" w:hanging="1797"/>
        <w:jc w:val="center"/>
        <w:outlineLvl w:val="0"/>
        <w:rPr>
          <w:rFonts w:ascii="Times New Roman Bold" w:eastAsia="MS Gothic" w:hAnsi="Times New Roman Bold" w:cs="Times New Roman"/>
          <w:b/>
          <w:bCs/>
          <w:caps/>
          <w:szCs w:val="28"/>
          <w:u w:val="single"/>
        </w:rPr>
      </w:pPr>
    </w:p>
    <w:p w14:paraId="03A25D58" w14:textId="77777777" w:rsidR="005B13D0" w:rsidRPr="005B13D0" w:rsidRDefault="005B13D0" w:rsidP="005B13D0">
      <w:pPr>
        <w:keepNext/>
        <w:keepLines/>
        <w:spacing w:before="200"/>
        <w:ind w:left="1797" w:hanging="1797"/>
        <w:outlineLvl w:val="0"/>
        <w:rPr>
          <w:rFonts w:ascii="Calibri" w:eastAsia="Calibri" w:hAnsi="Calibri" w:cs="Times New Roman"/>
          <w:bCs/>
          <w:caps/>
          <w:sz w:val="22"/>
          <w:szCs w:val="24"/>
          <w:u w:val="single"/>
          <w:shd w:val="clear" w:color="auto" w:fill="00FFFF"/>
          <w:lang w:eastAsia="ar-SA"/>
        </w:rPr>
      </w:pPr>
      <w:bookmarkStart w:id="1" w:name="_Toc117591128"/>
      <w:bookmarkStart w:id="2" w:name="_Toc117674736"/>
      <w:bookmarkStart w:id="3" w:name="_Toc117696667"/>
      <w:bookmarkStart w:id="4" w:name="_Toc122444419"/>
      <w:bookmarkStart w:id="5" w:name="_Toc218850007"/>
      <w:r w:rsidRPr="005B13D0">
        <w:rPr>
          <w:rFonts w:ascii="Times New Roman Bold" w:eastAsia="MS Gothic" w:hAnsi="Times New Roman Bold" w:cs="Times New Roman"/>
          <w:bCs/>
          <w:caps/>
          <w:szCs w:val="28"/>
          <w:u w:val="single"/>
        </w:rPr>
        <w:t>1. Maximum grant AWARDED</w:t>
      </w:r>
      <w:r w:rsidRPr="005B13D0">
        <w:rPr>
          <w:rFonts w:ascii="Times New Roman Bold" w:eastAsia="MS Gothic" w:hAnsi="Times New Roman Bold" w:cs="Times New Roman"/>
          <w:b/>
          <w:bCs/>
          <w:caps/>
          <w:szCs w:val="28"/>
          <w:u w:val="single"/>
        </w:rPr>
        <w:t xml:space="preserve"> (Article 5.2)</w:t>
      </w:r>
      <w:bookmarkEnd w:id="1"/>
      <w:bookmarkEnd w:id="2"/>
      <w:bookmarkEnd w:id="3"/>
      <w:bookmarkEnd w:id="4"/>
      <w:bookmarkEnd w:id="5"/>
    </w:p>
    <w:p w14:paraId="06E39FD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6" w:name="_Toc117696668"/>
      <w:bookmarkStart w:id="7" w:name="_Toc122444420"/>
      <w:bookmarkStart w:id="8" w:name="_Toc218850008"/>
      <w:bookmarkStart w:id="9" w:name="_Toc117674737"/>
      <w:r w:rsidRPr="005B13D0">
        <w:rPr>
          <w:rFonts w:ascii="Times New Roman Bold" w:eastAsia="MS Gothic" w:hAnsi="Times New Roman Bold" w:cs="Times New Roman"/>
          <w:b/>
          <w:bCs/>
          <w:smallCaps/>
          <w:szCs w:val="26"/>
          <w:u w:val="single"/>
          <w:lang w:eastAsia="ar-SA"/>
        </w:rPr>
        <w:t>1.1 Grant award increase due to redistribution of funds</w:t>
      </w:r>
      <w:bookmarkEnd w:id="6"/>
      <w:bookmarkEnd w:id="7"/>
      <w:bookmarkEnd w:id="8"/>
      <w:r w:rsidRPr="005B13D0">
        <w:rPr>
          <w:rFonts w:ascii="Times New Roman Bold" w:eastAsia="MS Gothic" w:hAnsi="Times New Roman Bold" w:cs="Times New Roman"/>
          <w:b/>
          <w:bCs/>
          <w:smallCaps/>
          <w:szCs w:val="26"/>
          <w:u w:val="single"/>
          <w:lang w:eastAsia="ar-SA"/>
        </w:rPr>
        <w:t xml:space="preserve"> </w:t>
      </w:r>
      <w:bookmarkEnd w:id="9"/>
    </w:p>
    <w:p w14:paraId="59BF9EC0" w14:textId="77777777" w:rsidR="005B13D0" w:rsidRPr="005B13D0" w:rsidRDefault="005B13D0" w:rsidP="005B13D0">
      <w:pPr>
        <w:widowControl w:val="0"/>
        <w:suppressAutoHyphens/>
        <w:spacing w:line="273" w:lineRule="auto"/>
        <w:rPr>
          <w:rFonts w:eastAsia="Calibri" w:cs="Times New Roman"/>
          <w:szCs w:val="24"/>
          <w:lang w:eastAsia="ar-SA"/>
        </w:rPr>
      </w:pPr>
      <w:r w:rsidRPr="005B13D0">
        <w:rPr>
          <w:rFonts w:eastAsia="Calibri" w:cs="Times New Roman"/>
          <w:szCs w:val="24"/>
          <w:lang w:eastAsia="ar-SA"/>
        </w:rPr>
        <w:t>In the framework of redistribution of funds in higher education mobility, or in the event of additional funds becoming available to the National Agency for (re)allocation to the beneficiaries, the maximum grant awarded indicated in Article 5.2 may be increased through amendment in line with Article 39 provided that:</w:t>
      </w:r>
    </w:p>
    <w:p w14:paraId="15266A44" w14:textId="77777777" w:rsidR="005B13D0" w:rsidRPr="005B13D0" w:rsidRDefault="005B13D0" w:rsidP="005B13D0">
      <w:pPr>
        <w:widowControl w:val="0"/>
        <w:numPr>
          <w:ilvl w:val="0"/>
          <w:numId w:val="71"/>
        </w:numPr>
        <w:suppressAutoHyphens/>
        <w:spacing w:line="273" w:lineRule="auto"/>
        <w:rPr>
          <w:rFonts w:eastAsia="SimSun" w:cs="Times New Roman"/>
          <w:lang w:eastAsia="ar-SA"/>
        </w:rPr>
      </w:pPr>
      <w:r w:rsidRPr="005B13D0">
        <w:rPr>
          <w:rFonts w:eastAsia="SimSun" w:cs="Times New Roman"/>
          <w:lang w:eastAsia="ar-SA"/>
        </w:rPr>
        <w:t>the beneficiary has not been awarded the full grant requested under the main selection round due to the high demand and limited budget</w:t>
      </w:r>
      <w:r w:rsidRPr="005B13D0">
        <w:rPr>
          <w:rFonts w:eastAsia="Times New Roman" w:cs="Times New Roman"/>
          <w:i/>
          <w:iCs/>
          <w:color w:val="4AA55B"/>
          <w:lang w:val="en-US"/>
        </w:rPr>
        <w:t xml:space="preserve"> </w:t>
      </w:r>
      <w:r w:rsidRPr="005B13D0">
        <w:rPr>
          <w:rFonts w:eastAsia="SimSun" w:cs="Times New Roman"/>
          <w:lang w:eastAsia="ar-SA"/>
        </w:rPr>
        <w:t>per region;</w:t>
      </w:r>
    </w:p>
    <w:p w14:paraId="7DC76593" w14:textId="77777777" w:rsidR="005B13D0" w:rsidRPr="005B13D0" w:rsidRDefault="005B13D0" w:rsidP="005B13D0">
      <w:pPr>
        <w:widowControl w:val="0"/>
        <w:numPr>
          <w:ilvl w:val="0"/>
          <w:numId w:val="71"/>
        </w:numPr>
        <w:suppressAutoHyphens/>
        <w:spacing w:line="273" w:lineRule="auto"/>
        <w:rPr>
          <w:rFonts w:eastAsia="SimSun" w:cs="Times New Roman"/>
          <w:lang w:eastAsia="ar-SA"/>
        </w:rPr>
      </w:pPr>
      <w:r w:rsidRPr="005B13D0">
        <w:rPr>
          <w:rFonts w:eastAsia="SimSun" w:cs="Times New Roman"/>
          <w:lang w:eastAsia="ar-SA"/>
        </w:rPr>
        <w:t>mobilities</w:t>
      </w:r>
      <w:r w:rsidRPr="005B13D0">
        <w:rPr>
          <w:rFonts w:eastAsia="Calibri" w:cs="Arial"/>
          <w:i/>
          <w:color w:val="4AA55B"/>
          <w:lang w:val="en-US"/>
        </w:rPr>
        <w:t xml:space="preserve"> </w:t>
      </w:r>
      <w:r w:rsidRPr="005B13D0">
        <w:rPr>
          <w:rFonts w:eastAsia="SimSun" w:cs="Times New Roman"/>
          <w:lang w:eastAsia="ar-SA"/>
        </w:rPr>
        <w:t>with the region for which further financing is requested had already been requested in the application and had passed the quality assessment;</w:t>
      </w:r>
    </w:p>
    <w:p w14:paraId="6590C56A" w14:textId="77777777" w:rsidR="005B13D0" w:rsidRPr="005B13D0" w:rsidRDefault="005B13D0" w:rsidP="005B13D0">
      <w:pPr>
        <w:widowControl w:val="0"/>
        <w:numPr>
          <w:ilvl w:val="0"/>
          <w:numId w:val="71"/>
        </w:numPr>
        <w:suppressAutoHyphens/>
        <w:spacing w:line="273" w:lineRule="auto"/>
        <w:rPr>
          <w:rFonts w:eastAsia="SimSun" w:cs="Times New Roman"/>
          <w:lang w:eastAsia="ar-SA"/>
        </w:rPr>
      </w:pPr>
      <w:r w:rsidRPr="005B13D0">
        <w:rPr>
          <w:rFonts w:eastAsia="SimSun" w:cs="Times New Roman"/>
          <w:lang w:eastAsia="ar-SA"/>
        </w:rPr>
        <w:t>on the basis of the information in the periodic/progress report and data registered in the Erasmus+ reporting and management tool, the implementation of mobilities granted initially is in line with the Grant Agreement.</w:t>
      </w:r>
    </w:p>
    <w:p w14:paraId="67BB8003" w14:textId="675B1ECE" w:rsidR="005B13D0" w:rsidRPr="00835069" w:rsidRDefault="005B13D0" w:rsidP="005B13D0">
      <w:pPr>
        <w:widowControl w:val="0"/>
        <w:suppressAutoHyphens/>
        <w:spacing w:line="273" w:lineRule="auto"/>
        <w:rPr>
          <w:rFonts w:eastAsia="SimSun" w:cs="Times New Roman"/>
          <w:i/>
          <w:color w:val="92D050"/>
          <w:lang w:eastAsia="ar-SA"/>
        </w:rPr>
      </w:pPr>
      <w:r w:rsidRPr="005B13D0">
        <w:rPr>
          <w:rFonts w:eastAsia="Calibri" w:cs="Arial"/>
          <w:lang w:eastAsia="ar-SA"/>
        </w:rPr>
        <w:t>The maximum grant awarded must not exceed the grant amount requested by the applicant in the initial grant application.</w:t>
      </w:r>
    </w:p>
    <w:p w14:paraId="1F2AD805"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10" w:name="_Toc117674738"/>
      <w:bookmarkStart w:id="11" w:name="_Toc117696669"/>
      <w:bookmarkStart w:id="12" w:name="_Toc122444421"/>
      <w:bookmarkStart w:id="13" w:name="_Toc218850009"/>
      <w:r w:rsidRPr="005B13D0">
        <w:rPr>
          <w:rFonts w:ascii="Times New Roman Bold" w:eastAsia="MS Gothic" w:hAnsi="Times New Roman Bold" w:cs="Times New Roman"/>
          <w:b/>
          <w:bCs/>
          <w:smallCaps/>
          <w:szCs w:val="26"/>
          <w:u w:val="single"/>
          <w:lang w:eastAsia="ar-SA"/>
        </w:rPr>
        <w:t>1.2. decrease of the maximum grant awarded due to low number of mobility activities implemented</w:t>
      </w:r>
      <w:bookmarkEnd w:id="10"/>
      <w:bookmarkEnd w:id="11"/>
      <w:bookmarkEnd w:id="12"/>
      <w:bookmarkEnd w:id="13"/>
    </w:p>
    <w:p w14:paraId="49AE04FE" w14:textId="46F78E46" w:rsidR="005B13D0" w:rsidRPr="00835069" w:rsidRDefault="005B13D0" w:rsidP="005B13D0">
      <w:pPr>
        <w:widowControl w:val="0"/>
        <w:suppressAutoHyphens/>
        <w:spacing w:line="273" w:lineRule="auto"/>
        <w:rPr>
          <w:rFonts w:eastAsia="Calibri" w:cs="Times New Roman"/>
          <w:lang w:eastAsia="ar-SA"/>
        </w:rPr>
      </w:pPr>
      <w:r w:rsidRPr="005B13D0">
        <w:rPr>
          <w:rFonts w:eastAsia="Calibri" w:cs="Times New Roman"/>
          <w:lang w:eastAsia="ar-SA"/>
        </w:rPr>
        <w:t>When the periodic or progress report shows a very low number of mobility activities, indicating that the beneficiary will not fully implement the awarded grant, the maximum grant awarded indicated in Article 5.2 may be decreased through an amendment in line with Article 39.</w:t>
      </w:r>
    </w:p>
    <w:p w14:paraId="3402618F"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14" w:name="_Toc117674739"/>
      <w:bookmarkStart w:id="15" w:name="_Toc117696670"/>
      <w:bookmarkStart w:id="16" w:name="_Toc122444422"/>
      <w:bookmarkStart w:id="17" w:name="_Toc218850010"/>
      <w:r w:rsidRPr="005B13D0">
        <w:rPr>
          <w:rFonts w:ascii="Times New Roman Bold" w:eastAsia="MS Gothic" w:hAnsi="Times New Roman Bold" w:cs="Times New Roman"/>
          <w:b/>
          <w:bCs/>
          <w:smallCaps/>
          <w:szCs w:val="26"/>
          <w:u w:val="single"/>
          <w:lang w:eastAsia="ar-SA"/>
        </w:rPr>
        <w:t>1.3. increase of the maximum grant awarded for inclusion support and exceptional costs</w:t>
      </w:r>
      <w:bookmarkEnd w:id="14"/>
      <w:bookmarkEnd w:id="15"/>
      <w:bookmarkEnd w:id="16"/>
      <w:bookmarkEnd w:id="17"/>
    </w:p>
    <w:p w14:paraId="0475E19E" w14:textId="6C6B5419" w:rsidR="005B13D0" w:rsidRPr="005B13D0" w:rsidRDefault="005B13D0" w:rsidP="005B13D0">
      <w:pPr>
        <w:suppressAutoHyphens/>
        <w:spacing w:line="276" w:lineRule="auto"/>
        <w:rPr>
          <w:rFonts w:eastAsia="Calibri" w:cs="Times New Roman"/>
          <w:sz w:val="22"/>
          <w:lang w:eastAsia="ar-SA"/>
        </w:rPr>
      </w:pPr>
      <w:r w:rsidRPr="005B13D0">
        <w:rPr>
          <w:rFonts w:eastAsia="Calibri" w:cs="Times New Roman"/>
          <w:lang w:eastAsia="ar-SA"/>
        </w:rPr>
        <w:t xml:space="preserve">Since inclusion support and exceptional costs cannot be included in the initial budget at application stage due to their </w:t>
      </w:r>
      <w:r w:rsidRPr="005B13D0">
        <w:rPr>
          <w:rFonts w:eastAsia="Calibri" w:cs="Times New Roman"/>
          <w:i/>
          <w:lang w:eastAsia="ar-SA"/>
        </w:rPr>
        <w:t>ad</w:t>
      </w:r>
      <w:r w:rsidRPr="005B13D0">
        <w:rPr>
          <w:rFonts w:eastAsia="Calibri" w:cs="Times New Roman"/>
          <w:i/>
          <w:iCs/>
          <w:lang w:eastAsia="ar-SA"/>
        </w:rPr>
        <w:t xml:space="preserve"> </w:t>
      </w:r>
      <w:r w:rsidRPr="005B13D0">
        <w:rPr>
          <w:rFonts w:eastAsia="Calibri" w:cs="Times New Roman"/>
          <w:i/>
          <w:lang w:eastAsia="ar-SA"/>
        </w:rPr>
        <w:t>hoc</w:t>
      </w:r>
      <w:r w:rsidRPr="005B13D0">
        <w:rPr>
          <w:rFonts w:eastAsia="Calibri" w:cs="Times New Roman"/>
          <w:lang w:eastAsia="ar-SA"/>
        </w:rPr>
        <w:t xml:space="preserve"> nature, the beneficiary may request additional grant support for these budget categories once the participants with fewer opportunities have been identified. Such amendment may be approved and support may be provided by the National Agency from its contingency reserve, if available</w:t>
      </w:r>
      <w:r w:rsidRPr="005B13D0">
        <w:rPr>
          <w:rFonts w:eastAsia="Calibri" w:cs="Times New Roman"/>
          <w:sz w:val="22"/>
          <w:lang w:eastAsia="ar-SA"/>
        </w:rPr>
        <w:t>.</w:t>
      </w:r>
    </w:p>
    <w:p w14:paraId="17C0678D" w14:textId="77777777" w:rsidR="005B13D0" w:rsidRPr="005B13D0" w:rsidRDefault="005B13D0" w:rsidP="005B13D0">
      <w:pPr>
        <w:widowControl w:val="0"/>
        <w:suppressAutoHyphens/>
        <w:spacing w:line="273" w:lineRule="auto"/>
        <w:rPr>
          <w:rFonts w:eastAsia="Calibri" w:cs="Arial"/>
        </w:rPr>
      </w:pPr>
      <w:r w:rsidRPr="005B13D0">
        <w:rPr>
          <w:rFonts w:eastAsia="Calibri" w:cs="Arial"/>
        </w:rPr>
        <w:t>If the amendment is approved, the National Agency will issue the  relevant payment as a matter of urgency if it is necessary for the beneficiary to comply with rules on provision of inclusion support for participants as specified in point 5 of this Annex.</w:t>
      </w:r>
    </w:p>
    <w:p w14:paraId="4B51502F" w14:textId="77777777" w:rsidR="005B13D0" w:rsidRPr="005B13D0" w:rsidRDefault="005B13D0" w:rsidP="005B13D0">
      <w:pPr>
        <w:widowControl w:val="0"/>
        <w:suppressAutoHyphens/>
        <w:spacing w:line="273" w:lineRule="auto"/>
        <w:rPr>
          <w:rFonts w:eastAsia="Calibri" w:cs="Arial"/>
          <w:szCs w:val="24"/>
        </w:rPr>
      </w:pPr>
    </w:p>
    <w:p w14:paraId="097DEB40" w14:textId="77777777" w:rsidR="005B13D0" w:rsidRPr="005B13D0" w:rsidRDefault="005B13D0" w:rsidP="005B13D0">
      <w:pPr>
        <w:keepNext/>
        <w:keepLines/>
        <w:spacing w:before="200"/>
        <w:ind w:left="1797" w:hanging="1077"/>
        <w:outlineLvl w:val="0"/>
        <w:rPr>
          <w:rFonts w:ascii="Times New Roman Bold" w:eastAsia="MS Gothic" w:hAnsi="Times New Roman Bold" w:cs="Times New Roman"/>
          <w:b/>
          <w:bCs/>
          <w:caps/>
          <w:szCs w:val="28"/>
          <w:u w:val="single"/>
        </w:rPr>
      </w:pPr>
      <w:bookmarkStart w:id="18" w:name="_Toc117591129"/>
      <w:bookmarkStart w:id="19" w:name="_Toc117674740"/>
      <w:bookmarkStart w:id="20" w:name="_Toc117696671"/>
      <w:bookmarkStart w:id="21" w:name="_Toc122444423"/>
      <w:bookmarkStart w:id="22" w:name="_Toc218850011"/>
      <w:r w:rsidRPr="005B13D0">
        <w:rPr>
          <w:rFonts w:ascii="Times New Roman Bold" w:eastAsia="MS Gothic" w:hAnsi="Times New Roman Bold" w:cs="Times New Roman"/>
          <w:b/>
          <w:bCs/>
          <w:caps/>
          <w:szCs w:val="28"/>
          <w:u w:val="single"/>
        </w:rPr>
        <w:lastRenderedPageBreak/>
        <w:t>2. Budget flexibility (Article 5.5)</w:t>
      </w:r>
      <w:bookmarkEnd w:id="18"/>
      <w:bookmarkEnd w:id="19"/>
      <w:bookmarkEnd w:id="20"/>
      <w:bookmarkEnd w:id="21"/>
      <w:bookmarkEnd w:id="22"/>
    </w:p>
    <w:p w14:paraId="2D7E2CAA" w14:textId="77777777" w:rsidR="005B13D0" w:rsidRPr="005B13D0" w:rsidRDefault="005B13D0" w:rsidP="005B13D0">
      <w:pPr>
        <w:rPr>
          <w:rFonts w:eastAsia="Calibri" w:cs="Arial"/>
        </w:rPr>
      </w:pPr>
      <w:r w:rsidRPr="005B13D0">
        <w:rPr>
          <w:rFonts w:eastAsia="Calibri" w:cs="Arial"/>
        </w:rPr>
        <w:t xml:space="preserve">Budget transfers </w:t>
      </w:r>
      <w:r w:rsidRPr="005B13D0">
        <w:rPr>
          <w:rFonts w:eastAsia="Calibri" w:cs="Arial"/>
          <w:b/>
          <w:bCs/>
        </w:rPr>
        <w:t xml:space="preserve">between regions </w:t>
      </w:r>
      <w:r w:rsidRPr="005B13D0">
        <w:rPr>
          <w:rFonts w:eastAsia="Calibri" w:cs="Arial"/>
        </w:rPr>
        <w:t xml:space="preserve">are not allowed. </w:t>
      </w:r>
    </w:p>
    <w:p w14:paraId="5C84385E" w14:textId="77777777" w:rsidR="005B13D0" w:rsidRPr="005B13D0" w:rsidRDefault="005B13D0" w:rsidP="005B13D0">
      <w:pPr>
        <w:rPr>
          <w:rFonts w:eastAsia="Calibri" w:cs="Arial"/>
          <w:lang w:val="en-US"/>
        </w:rPr>
      </w:pPr>
      <w:r w:rsidRPr="005B13D0">
        <w:rPr>
          <w:rFonts w:eastAsia="Calibri" w:cs="Arial"/>
        </w:rPr>
        <w:t>It is not allowed to add countries not indicated in Annex 1.</w:t>
      </w:r>
    </w:p>
    <w:p w14:paraId="57735A58" w14:textId="77777777" w:rsidR="005B13D0" w:rsidRPr="005B13D0" w:rsidRDefault="005B13D0" w:rsidP="005B13D0">
      <w:pPr>
        <w:rPr>
          <w:rFonts w:eastAsia="Calibri" w:cs="Arial"/>
          <w:lang w:val="en-US"/>
        </w:rPr>
      </w:pPr>
      <w:r w:rsidRPr="005B13D0">
        <w:rPr>
          <w:rFonts w:eastAsia="Calibri" w:cs="Arial"/>
          <w:lang w:val="en-US"/>
        </w:rPr>
        <w:t xml:space="preserve">With regard to mobility with Belarus (Region 2) and Russia (Region 4), the only eligible activity is incoming student mobility. All budget transfers allowed within the same region, between activity types (from student to staff mobility and vice-versa) or between budget categories </w:t>
      </w:r>
      <w:r w:rsidRPr="005B13D0">
        <w:rPr>
          <w:rFonts w:eastAsia="Calibri" w:cs="Arial"/>
          <w:b/>
          <w:bCs/>
          <w:i/>
          <w:iCs/>
          <w:lang w:val="en-US"/>
        </w:rPr>
        <w:t>Individual support and travel support for outgoing mobility</w:t>
      </w:r>
      <w:r w:rsidRPr="005B13D0">
        <w:rPr>
          <w:rFonts w:eastAsia="Calibri" w:cs="Arial"/>
          <w:i/>
          <w:iCs/>
          <w:lang w:val="en-US"/>
        </w:rPr>
        <w:t xml:space="preserve"> and </w:t>
      </w:r>
      <w:r w:rsidRPr="005B13D0">
        <w:rPr>
          <w:rFonts w:eastAsia="Calibri" w:cs="Arial"/>
          <w:b/>
          <w:bCs/>
          <w:i/>
          <w:iCs/>
          <w:lang w:val="en-US"/>
        </w:rPr>
        <w:t>Individual support and travel support for incoming mobility</w:t>
      </w:r>
      <w:r w:rsidRPr="005B13D0">
        <w:rPr>
          <w:rFonts w:eastAsia="Calibri" w:cs="Arial"/>
          <w:b/>
          <w:bCs/>
          <w:lang w:val="en-US"/>
        </w:rPr>
        <w:t xml:space="preserve"> </w:t>
      </w:r>
      <w:r w:rsidRPr="005B13D0">
        <w:rPr>
          <w:rFonts w:eastAsia="Calibri" w:cs="Arial"/>
          <w:lang w:val="en-US"/>
        </w:rPr>
        <w:t>should respect this eligibility rule.</w:t>
      </w:r>
    </w:p>
    <w:p w14:paraId="7F5DC6E5" w14:textId="77777777" w:rsidR="005B13D0" w:rsidRPr="005B13D0" w:rsidRDefault="005B13D0" w:rsidP="005B13D0">
      <w:pPr>
        <w:suppressAutoHyphens/>
        <w:spacing w:line="276" w:lineRule="auto"/>
        <w:rPr>
          <w:rFonts w:eastAsia="Calibri" w:cs="Arial"/>
          <w:lang w:val="en-US"/>
        </w:rPr>
      </w:pPr>
      <w:r w:rsidRPr="005B13D0">
        <w:rPr>
          <w:rFonts w:eastAsia="Calibri" w:cs="Arial"/>
          <w:lang w:val="en-US"/>
        </w:rPr>
        <w:t xml:space="preserve">With regard to Article 5.5, an amendment is required if any budget transfer between the budget categories </w:t>
      </w:r>
      <w:r w:rsidRPr="005B13D0">
        <w:rPr>
          <w:rFonts w:eastAsia="Calibri" w:cs="Arial"/>
          <w:b/>
          <w:bCs/>
          <w:i/>
          <w:iCs/>
          <w:lang w:val="en-US"/>
        </w:rPr>
        <w:t>Individual support and travel support for outgoing mobility</w:t>
      </w:r>
      <w:r w:rsidRPr="005B13D0">
        <w:rPr>
          <w:rFonts w:eastAsia="Calibri" w:cs="Arial"/>
          <w:lang w:val="en-US"/>
        </w:rPr>
        <w:t xml:space="preserve"> and </w:t>
      </w:r>
      <w:r w:rsidRPr="005B13D0">
        <w:rPr>
          <w:rFonts w:eastAsia="Calibri" w:cs="Arial"/>
          <w:b/>
          <w:bCs/>
          <w:i/>
          <w:iCs/>
          <w:lang w:val="en-US"/>
        </w:rPr>
        <w:t>Individual support and travel support for incoming mobility</w:t>
      </w:r>
      <w:r w:rsidRPr="005B13D0">
        <w:rPr>
          <w:rFonts w:eastAsia="Calibri" w:cs="Arial"/>
          <w:lang w:val="en-US"/>
        </w:rPr>
        <w:t xml:space="preserve"> exceeds 40% of the total budget of the project allocated in Annex 1. </w:t>
      </w:r>
    </w:p>
    <w:p w14:paraId="16D7E2F0" w14:textId="51F77CF8" w:rsidR="005B13D0" w:rsidRPr="005B13D0" w:rsidRDefault="005B13D0" w:rsidP="003A0757">
      <w:pPr>
        <w:rPr>
          <w:rFonts w:eastAsia="Calibri" w:cs="Arial"/>
        </w:rPr>
      </w:pPr>
      <w:r w:rsidRPr="005B13D0">
        <w:rPr>
          <w:rFonts w:eastAsia="Calibri" w:cs="Arial"/>
        </w:rPr>
        <w:t xml:space="preserve">With regard to Article 5.5, an amendment is required if </w:t>
      </w:r>
      <w:r w:rsidRPr="005B13D0">
        <w:rPr>
          <w:rFonts w:eastAsia="Calibri" w:cs="Arial"/>
          <w:lang w:val="en-US"/>
        </w:rPr>
        <w:t xml:space="preserve">budget transfers from budget category </w:t>
      </w:r>
      <w:r w:rsidRPr="005B13D0">
        <w:rPr>
          <w:rFonts w:eastAsia="Calibri" w:cs="Arial"/>
          <w:b/>
          <w:i/>
          <w:lang w:val="en-US"/>
        </w:rPr>
        <w:t>Organisational support</w:t>
      </w:r>
      <w:r w:rsidRPr="005B13D0">
        <w:rPr>
          <w:rFonts w:eastAsia="Calibri" w:cs="Arial"/>
          <w:lang w:val="en-US"/>
        </w:rPr>
        <w:t xml:space="preserve"> exceed 50% of the total funds in that category.</w:t>
      </w:r>
      <w:r w:rsidRPr="005B13D0">
        <w:rPr>
          <w:rFonts w:eastAsia="Calibri" w:cs="Arial"/>
          <w:szCs w:val="24"/>
        </w:rPr>
        <w:t xml:space="preserve"> It is not allowed to </w:t>
      </w:r>
    </w:p>
    <w:p w14:paraId="003F6344" w14:textId="77777777" w:rsidR="003A0757" w:rsidRDefault="003A0757" w:rsidP="005B13D0">
      <w:pPr>
        <w:keepNext/>
        <w:keepLines/>
        <w:spacing w:before="200"/>
        <w:ind w:left="1797" w:hanging="1797"/>
        <w:outlineLvl w:val="0"/>
        <w:rPr>
          <w:rFonts w:eastAsia="Calibri" w:cs="Arial"/>
          <w:i/>
          <w:color w:val="4AA55B"/>
          <w:szCs w:val="24"/>
          <w:lang w:val="en-US"/>
        </w:rPr>
      </w:pPr>
      <w:bookmarkStart w:id="23" w:name="_Toc218850012"/>
    </w:p>
    <w:p w14:paraId="00ABF506" w14:textId="1E821A80"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r w:rsidRPr="005B13D0">
        <w:rPr>
          <w:rFonts w:ascii="Times New Roman Bold" w:eastAsia="MS Gothic" w:hAnsi="Times New Roman Bold" w:cs="Times New Roman"/>
          <w:b/>
          <w:bCs/>
          <w:caps/>
          <w:szCs w:val="28"/>
          <w:u w:val="single"/>
        </w:rPr>
        <w:t>3. SUBCONTRACTORS (ARTICLE 9.3)</w:t>
      </w:r>
      <w:bookmarkEnd w:id="23"/>
    </w:p>
    <w:p w14:paraId="4A4E5FB6" w14:textId="0564FA3F" w:rsidR="005B13D0" w:rsidRDefault="003A0757" w:rsidP="005B13D0">
      <w:pPr>
        <w:widowControl w:val="0"/>
        <w:suppressAutoHyphens/>
        <w:spacing w:line="273" w:lineRule="auto"/>
        <w:rPr>
          <w:rFonts w:eastAsia="Calibri" w:cs="Arial"/>
          <w:color w:val="4AA55B"/>
          <w:lang w:val="en-US"/>
        </w:rPr>
      </w:pPr>
      <w:r>
        <w:rPr>
          <w:rFonts w:eastAsia="Calibri" w:cs="Times New Roman"/>
          <w:lang w:eastAsia="ar-SA"/>
        </w:rPr>
        <w:t>N</w:t>
      </w:r>
      <w:r w:rsidR="005B13D0" w:rsidRPr="005B13D0">
        <w:rPr>
          <w:rFonts w:eastAsia="Calibri" w:cs="Times New Roman"/>
          <w:lang w:eastAsia="ar-SA"/>
        </w:rPr>
        <w:t>ot applicable</w:t>
      </w:r>
    </w:p>
    <w:p w14:paraId="0CE4A21A" w14:textId="77777777" w:rsidR="003A0757" w:rsidRPr="005B13D0" w:rsidRDefault="003A0757" w:rsidP="005B13D0">
      <w:pPr>
        <w:widowControl w:val="0"/>
        <w:suppressAutoHyphens/>
        <w:spacing w:line="273" w:lineRule="auto"/>
        <w:rPr>
          <w:rFonts w:eastAsia="Calibri" w:cs="Arial"/>
          <w:color w:val="4AA55B"/>
          <w:lang w:val="en-US"/>
        </w:rPr>
      </w:pPr>
    </w:p>
    <w:p w14:paraId="3BBAA2F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24" w:name="_Toc117591130"/>
      <w:bookmarkStart w:id="25" w:name="_Toc117674741"/>
      <w:bookmarkStart w:id="26" w:name="_Toc117696672"/>
      <w:bookmarkStart w:id="27" w:name="_Toc122444424"/>
      <w:bookmarkStart w:id="28" w:name="_Toc218850013"/>
      <w:r w:rsidRPr="005B13D0">
        <w:rPr>
          <w:rFonts w:ascii="Times New Roman Bold" w:eastAsia="MS Gothic" w:hAnsi="Times New Roman Bold" w:cs="Times New Roman"/>
          <w:b/>
          <w:bCs/>
          <w:caps/>
          <w:szCs w:val="28"/>
          <w:u w:val="single"/>
        </w:rPr>
        <w:t xml:space="preserve">4. support to PARTICIPANTS </w:t>
      </w:r>
      <w:bookmarkEnd w:id="24"/>
      <w:bookmarkEnd w:id="25"/>
      <w:bookmarkEnd w:id="26"/>
      <w:bookmarkEnd w:id="27"/>
      <w:r w:rsidRPr="005B13D0">
        <w:rPr>
          <w:rFonts w:ascii="Times New Roman Bold" w:eastAsia="MS Gothic" w:hAnsi="Times New Roman Bold" w:cs="Times New Roman"/>
          <w:b/>
          <w:bCs/>
          <w:caps/>
          <w:szCs w:val="28"/>
          <w:u w:val="single"/>
        </w:rPr>
        <w:t>(ARTICLE 9.4)</w:t>
      </w:r>
      <w:bookmarkEnd w:id="28"/>
    </w:p>
    <w:p w14:paraId="020A62AE"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When the beneficiary provides support to participants as part of project implementation, it must do so in accordance with the conditions specified in this Annex and in Annex 1, Annex 2, Annex 3 and Annex 6</w:t>
      </w:r>
      <w:r w:rsidRPr="005B13D0">
        <w:rPr>
          <w:rFonts w:eastAsia="Calibri" w:cs="Times New Roman"/>
          <w:position w:val="4"/>
          <w:sz w:val="20"/>
          <w:vertAlign w:val="superscript"/>
          <w:lang w:eastAsia="ar-SA"/>
        </w:rPr>
        <w:footnoteReference w:id="1"/>
      </w:r>
      <w:r w:rsidRPr="005B13D0">
        <w:rPr>
          <w:rFonts w:eastAsia="Calibri" w:cs="Times New Roman"/>
          <w:lang w:eastAsia="ar-SA"/>
        </w:rPr>
        <w:t>. The conditions of support must be clearly communicated to the participants in writing in non-discriminatory manner in advance. Where conversion of costs between currencies is needed, it cannot be to the detriment of the participant.</w:t>
      </w:r>
    </w:p>
    <w:p w14:paraId="6378603C" w14:textId="72762ED6" w:rsidR="005B13D0" w:rsidRPr="00C54E82" w:rsidRDefault="005B13D0" w:rsidP="005B13D0">
      <w:pPr>
        <w:widowControl w:val="0"/>
        <w:suppressAutoHyphens/>
        <w:spacing w:line="273" w:lineRule="auto"/>
        <w:rPr>
          <w:rFonts w:eastAsia="Calibri" w:cs="Times New Roman"/>
          <w:lang w:eastAsia="ar-SA"/>
        </w:rPr>
      </w:pPr>
      <w:r w:rsidRPr="005B13D0">
        <w:rPr>
          <w:rFonts w:eastAsia="Calibri" w:cs="Times New Roman"/>
          <w:lang w:eastAsia="ar-SA"/>
        </w:rPr>
        <w:t>The beneficiary will manage the budget for mobility between EU Member States or third countries associated to the Programme and third countries not associated to the Programme, including all associated costs with incoming and outgoing student and staff mobility.</w:t>
      </w:r>
    </w:p>
    <w:p w14:paraId="1C10D264"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When the EU support is provided in the form of unit contributions, the beneficiary must apply one of the following options:</w:t>
      </w:r>
    </w:p>
    <w:p w14:paraId="4C6402B8" w14:textId="77777777" w:rsidR="005B13D0" w:rsidRPr="005B13D0" w:rsidRDefault="005B13D0" w:rsidP="005B13D0">
      <w:pPr>
        <w:numPr>
          <w:ilvl w:val="0"/>
          <w:numId w:val="72"/>
        </w:numPr>
        <w:suppressAutoHyphens/>
        <w:spacing w:line="276" w:lineRule="auto"/>
        <w:rPr>
          <w:rFonts w:eastAsia="Calibri" w:cs="Times New Roman"/>
          <w:lang w:eastAsia="ar-SA"/>
        </w:rPr>
      </w:pPr>
      <w:r w:rsidRPr="005B13D0">
        <w:rPr>
          <w:rFonts w:eastAsia="Times New Roman" w:cs="Times New Roman"/>
          <w:b/>
          <w:bCs/>
        </w:rPr>
        <w:t>Direct payment:</w:t>
      </w:r>
      <w:r w:rsidRPr="005B13D0">
        <w:rPr>
          <w:rFonts w:eastAsia="Times New Roman" w:cs="Times New Roman"/>
        </w:rPr>
        <w:t xml:space="preserve"> paying the unit contribution in full to the participant, applying the rates for unit contributions as specified in Annex 3. </w:t>
      </w:r>
    </w:p>
    <w:p w14:paraId="33C9361E"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Times New Roman" w:cs="Times New Roman"/>
          <w:b/>
          <w:bCs/>
        </w:rPr>
        <w:lastRenderedPageBreak/>
        <w:t>In-kind support:</w:t>
      </w:r>
      <w:r w:rsidRPr="005B13D0">
        <w:rPr>
          <w:rFonts w:eastAsia="Times New Roman" w:cs="Times New Roman"/>
        </w:rPr>
        <w:t xml:space="preserve"> providing the participants with the required goods and services (e.g. travel tickets, hotel accommodation) by purchasing them on the participants’ behalf or ensuring them in another way. The beneficiary must ensure that the provided goods and services meet the necessary quality and safety standards. If the purchase of goods and services costs less than the corresponding unit contribution, the beneficiary may use the residual funds to cover other project costs, to pay them out to the participant, or to fund additional participants, while respecting the necessary quality and safety standards and ensuring fair and equal treatment.</w:t>
      </w:r>
    </w:p>
    <w:p w14:paraId="492DFE9B"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Calibri" w:cs="Times New Roman"/>
          <w:b/>
          <w:bCs/>
          <w:szCs w:val="24"/>
          <w:lang w:eastAsia="ar-SA"/>
        </w:rPr>
        <w:t>Combined support:</w:t>
      </w:r>
      <w:r w:rsidRPr="005B13D0">
        <w:rPr>
          <w:rFonts w:eastAsia="Calibri" w:cs="Times New Roman"/>
          <w:szCs w:val="24"/>
          <w:lang w:eastAsia="ar-SA"/>
        </w:rPr>
        <w:t xml:space="preserve"> providing the support to participants by combining options a) and b), by making direct payments for some budget categories and in-kind support for other budget categories. The beneficiaries must ensure fair and equal treatment</w:t>
      </w:r>
      <w:r w:rsidRPr="005B13D0" w:rsidDel="000D1CAE">
        <w:rPr>
          <w:rFonts w:eastAsia="Calibri" w:cs="Times New Roman"/>
          <w:szCs w:val="24"/>
          <w:lang w:eastAsia="ar-SA"/>
        </w:rPr>
        <w:t xml:space="preserve"> </w:t>
      </w:r>
      <w:r w:rsidRPr="005B13D0">
        <w:rPr>
          <w:rFonts w:eastAsia="Calibri" w:cs="Times New Roman"/>
          <w:szCs w:val="24"/>
          <w:lang w:eastAsia="ar-SA"/>
        </w:rPr>
        <w:t>when applying this option.</w:t>
      </w:r>
    </w:p>
    <w:p w14:paraId="048D54C2" w14:textId="77777777" w:rsidR="005B13D0" w:rsidRPr="005B13D0" w:rsidRDefault="005B13D0" w:rsidP="005B13D0">
      <w:pPr>
        <w:suppressAutoHyphens/>
        <w:spacing w:line="276" w:lineRule="auto"/>
        <w:ind w:left="720"/>
        <w:rPr>
          <w:rFonts w:eastAsia="Calibri" w:cs="Times New Roman"/>
          <w:lang w:eastAsia="ar-SA"/>
        </w:rPr>
      </w:pPr>
    </w:p>
    <w:p w14:paraId="3CF93ECA"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29" w:name="_Toc218850014"/>
      <w:bookmarkStart w:id="30" w:name="_Toc117591131"/>
      <w:bookmarkStart w:id="31" w:name="_Toc117674742"/>
      <w:bookmarkStart w:id="32" w:name="_Toc117696673"/>
      <w:bookmarkStart w:id="33" w:name="_Toc122444425"/>
      <w:r w:rsidRPr="005B13D0">
        <w:rPr>
          <w:rFonts w:ascii="Times New Roman Bold" w:eastAsia="MS Gothic" w:hAnsi="Times New Roman Bold" w:cs="Times New Roman"/>
          <w:b/>
          <w:bCs/>
          <w:caps/>
          <w:szCs w:val="28"/>
          <w:u w:val="single"/>
        </w:rPr>
        <w:t>5. Inclusion support for participants</w:t>
      </w:r>
      <w:bookmarkEnd w:id="29"/>
      <w:r w:rsidRPr="005B13D0">
        <w:rPr>
          <w:rFonts w:ascii="Times New Roman Bold" w:eastAsia="MS Gothic" w:hAnsi="Times New Roman Bold" w:cs="Times New Roman"/>
          <w:b/>
          <w:bCs/>
          <w:caps/>
          <w:szCs w:val="28"/>
          <w:u w:val="single"/>
        </w:rPr>
        <w:t xml:space="preserve"> </w:t>
      </w:r>
      <w:bookmarkEnd w:id="30"/>
      <w:bookmarkEnd w:id="31"/>
      <w:bookmarkEnd w:id="32"/>
      <w:bookmarkEnd w:id="33"/>
    </w:p>
    <w:p w14:paraId="40EA9A95" w14:textId="645CAD3A" w:rsid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For participants with fewer opportunities, the beneficiary will ensure that, when possible, the inclusion support or the top-up for fewer opportunities is pre-financed in order to facilitate the participation in the activities.</w:t>
      </w:r>
    </w:p>
    <w:p w14:paraId="70AB0B6D" w14:textId="77777777" w:rsidR="005A4D3A" w:rsidRPr="005B13D0" w:rsidRDefault="005A4D3A" w:rsidP="005B13D0">
      <w:pPr>
        <w:suppressAutoHyphens/>
        <w:spacing w:line="276" w:lineRule="auto"/>
        <w:rPr>
          <w:rFonts w:eastAsia="Calibri" w:cs="Times New Roman"/>
          <w:szCs w:val="24"/>
          <w:lang w:eastAsia="ar-SA"/>
        </w:rPr>
      </w:pPr>
    </w:p>
    <w:p w14:paraId="03391FBF"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34" w:name="_Toc117591132"/>
      <w:bookmarkStart w:id="35" w:name="_Toc117674743"/>
      <w:bookmarkStart w:id="36" w:name="_Toc117696674"/>
      <w:bookmarkStart w:id="37" w:name="_Toc122444426"/>
      <w:bookmarkStart w:id="38" w:name="_Toc218850015"/>
      <w:r w:rsidRPr="005B13D0">
        <w:rPr>
          <w:rFonts w:ascii="Times New Roman Bold" w:eastAsia="MS Gothic" w:hAnsi="Times New Roman Bold" w:cs="Times New Roman"/>
          <w:b/>
          <w:bCs/>
          <w:caps/>
          <w:szCs w:val="28"/>
          <w:u w:val="single"/>
        </w:rPr>
        <w:t>6. Data protection (Article 15)</w:t>
      </w:r>
      <w:bookmarkEnd w:id="34"/>
      <w:bookmarkEnd w:id="35"/>
      <w:bookmarkEnd w:id="36"/>
      <w:bookmarkEnd w:id="37"/>
      <w:bookmarkEnd w:id="38"/>
    </w:p>
    <w:p w14:paraId="41839F2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rPr>
      </w:pPr>
      <w:bookmarkStart w:id="39" w:name="_Toc122444427"/>
      <w:bookmarkStart w:id="40" w:name="_Toc218850016"/>
      <w:r w:rsidRPr="005B13D0">
        <w:rPr>
          <w:rFonts w:ascii="Times New Roman Bold" w:eastAsia="MS Gothic" w:hAnsi="Times New Roman Bold" w:cs="Times New Roman"/>
          <w:b/>
          <w:bCs/>
          <w:smallCaps/>
          <w:szCs w:val="26"/>
          <w:u w:val="single"/>
        </w:rPr>
        <w:t>6.1 Reporting on compliance with data protection obligations</w:t>
      </w:r>
      <w:bookmarkEnd w:id="39"/>
      <w:bookmarkEnd w:id="40"/>
    </w:p>
    <w:p w14:paraId="717D80EC" w14:textId="77777777" w:rsidR="005B13D0" w:rsidRPr="005B13D0" w:rsidRDefault="005B13D0" w:rsidP="005B13D0">
      <w:pPr>
        <w:spacing w:line="276" w:lineRule="auto"/>
        <w:rPr>
          <w:rFonts w:eastAsia="Calibri" w:cs="Arial"/>
        </w:rPr>
      </w:pPr>
      <w:r w:rsidRPr="005B13D0">
        <w:rPr>
          <w:rFonts w:eastAsia="Calibri" w:cs="Arial"/>
        </w:rPr>
        <w:t>The beneficiaries will report in the final report on the measures put in place for ensuring compliance of its data processing operations with the Regulation 2018/1725, in line with the obligations established in the Article 15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76C7C1D6"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rPr>
      </w:pPr>
      <w:bookmarkStart w:id="41" w:name="_Toc117699317"/>
      <w:bookmarkStart w:id="42" w:name="_Toc124769081"/>
      <w:bookmarkStart w:id="43" w:name="_Toc126747756"/>
      <w:bookmarkStart w:id="44" w:name="_Toc218850017"/>
      <w:r w:rsidRPr="005B13D0">
        <w:rPr>
          <w:rFonts w:ascii="Times New Roman Bold" w:eastAsia="MS Gothic" w:hAnsi="Times New Roman Bold" w:cs="Times New Roman"/>
          <w:b/>
          <w:bCs/>
          <w:smallCaps/>
          <w:szCs w:val="26"/>
          <w:u w:val="single"/>
        </w:rPr>
        <w:t>6.2 Informing the participants on the processing of their personal data</w:t>
      </w:r>
      <w:bookmarkEnd w:id="41"/>
      <w:bookmarkEnd w:id="42"/>
      <w:bookmarkEnd w:id="43"/>
      <w:bookmarkEnd w:id="44"/>
    </w:p>
    <w:p w14:paraId="6864225B" w14:textId="77777777" w:rsidR="005B13D0" w:rsidRPr="005B13D0" w:rsidRDefault="005B13D0" w:rsidP="005B13D0">
      <w:pPr>
        <w:suppressAutoHyphens/>
        <w:spacing w:line="276" w:lineRule="auto"/>
        <w:rPr>
          <w:rFonts w:eastAsia="Calibri" w:cs="Arial"/>
        </w:rPr>
      </w:pPr>
      <w:r w:rsidRPr="005B13D0">
        <w:rPr>
          <w:rFonts w:eastAsia="Calibri" w:cs="Arial"/>
        </w:rPr>
        <w:t>The beneficiaries will provide the participants with the relevant privacy statement for the processing of their personal data before these are encoded in the electronic systems for managing the Erasmus+ mobilities.</w:t>
      </w:r>
    </w:p>
    <w:p w14:paraId="6486E163" w14:textId="77777777" w:rsidR="005B13D0" w:rsidRPr="005B13D0" w:rsidRDefault="005B13D0" w:rsidP="005B13D0">
      <w:pPr>
        <w:keepNext/>
        <w:keepLines/>
        <w:spacing w:before="200"/>
        <w:outlineLvl w:val="0"/>
        <w:rPr>
          <w:rFonts w:ascii="Times New Roman Bold" w:eastAsia="MS Gothic" w:hAnsi="Times New Roman Bold" w:cs="Times New Roman"/>
          <w:b/>
          <w:bCs/>
          <w:caps/>
          <w:szCs w:val="28"/>
          <w:u w:val="single"/>
        </w:rPr>
      </w:pPr>
      <w:bookmarkStart w:id="45" w:name="_Toc117591133"/>
      <w:bookmarkStart w:id="46" w:name="_Toc117674744"/>
      <w:bookmarkStart w:id="47" w:name="_Toc117696675"/>
      <w:bookmarkStart w:id="48" w:name="_Toc122444428"/>
      <w:bookmarkStart w:id="49" w:name="_Toc218850018"/>
      <w:r w:rsidRPr="005B13D0">
        <w:rPr>
          <w:rFonts w:ascii="Times New Roman Bold" w:eastAsia="MS Gothic" w:hAnsi="Times New Roman Bold" w:cs="Times New Roman"/>
          <w:b/>
          <w:bCs/>
          <w:caps/>
          <w:szCs w:val="28"/>
          <w:u w:val="single"/>
        </w:rPr>
        <w:lastRenderedPageBreak/>
        <w:t>7. Intellectual property rights (IPR) — Background and results — Access rights and rights of use (Article 16)</w:t>
      </w:r>
      <w:bookmarkEnd w:id="45"/>
      <w:bookmarkEnd w:id="46"/>
      <w:bookmarkEnd w:id="47"/>
      <w:bookmarkEnd w:id="48"/>
      <w:bookmarkEnd w:id="49"/>
    </w:p>
    <w:p w14:paraId="2581751F"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4"/>
          <w:u w:val="single"/>
        </w:rPr>
      </w:pPr>
      <w:bookmarkStart w:id="50" w:name="_Toc117674745"/>
      <w:bookmarkStart w:id="51" w:name="_Toc117696676"/>
      <w:bookmarkStart w:id="52" w:name="_Toc122444429"/>
      <w:bookmarkStart w:id="53" w:name="_Toc218850019"/>
      <w:r w:rsidRPr="005B13D0">
        <w:rPr>
          <w:rFonts w:ascii="Times New Roman Bold" w:eastAsia="MS Gothic" w:hAnsi="Times New Roman Bold" w:cs="Times New Roman"/>
          <w:b/>
          <w:bCs/>
          <w:smallCaps/>
          <w:szCs w:val="26"/>
          <w:u w:val="single"/>
        </w:rPr>
        <w:t>7.1 List of background</w:t>
      </w:r>
      <w:bookmarkEnd w:id="50"/>
      <w:bookmarkEnd w:id="51"/>
      <w:bookmarkEnd w:id="52"/>
      <w:bookmarkEnd w:id="53"/>
      <w:r w:rsidRPr="005B13D0">
        <w:rPr>
          <w:rFonts w:ascii="Times New Roman Bold" w:eastAsia="MS Gothic" w:hAnsi="Times New Roman Bold" w:cs="Times New Roman"/>
          <w:b/>
          <w:bCs/>
          <w:smallCaps/>
          <w:szCs w:val="26"/>
          <w:u w:val="single"/>
        </w:rPr>
        <w:t xml:space="preserve"> </w:t>
      </w:r>
    </w:p>
    <w:p w14:paraId="7276FE26" w14:textId="77777777" w:rsidR="005B13D0" w:rsidRPr="005B13D0" w:rsidRDefault="005B13D0" w:rsidP="005B13D0">
      <w:pPr>
        <w:spacing w:line="276" w:lineRule="auto"/>
        <w:rPr>
          <w:rFonts w:eastAsia="Calibri" w:cs="Arial"/>
        </w:rPr>
      </w:pPr>
      <w:r w:rsidRPr="005B13D0">
        <w:rPr>
          <w:rFonts w:eastAsia="Calibri" w:cs="Arial"/>
        </w:rPr>
        <w:t>The beneficiaries must, where industrial and intellectual property rights (including rights of third parties) exist prior to the Agreement, establish a list of these pre-existing industrial and intellectual property rights, specifying the rights owners.</w:t>
      </w:r>
    </w:p>
    <w:p w14:paraId="5A00FA7A" w14:textId="77777777" w:rsidR="005B13D0" w:rsidRPr="005B13D0" w:rsidRDefault="005B13D0" w:rsidP="005B13D0">
      <w:pPr>
        <w:spacing w:line="276" w:lineRule="auto"/>
        <w:rPr>
          <w:rFonts w:eastAsia="Calibri" w:cs="Arial"/>
        </w:rPr>
      </w:pPr>
      <w:r w:rsidRPr="005B13D0">
        <w:rPr>
          <w:rFonts w:eastAsia="Calibri" w:cs="Arial"/>
        </w:rPr>
        <w:t>The coordinator must — before starting the project — submit this list to the granting authority.</w:t>
      </w:r>
    </w:p>
    <w:p w14:paraId="72961221"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rPr>
      </w:pPr>
      <w:bookmarkStart w:id="54" w:name="_Toc122425621"/>
      <w:bookmarkStart w:id="55" w:name="_Toc122444430"/>
      <w:bookmarkStart w:id="56" w:name="_Toc218850020"/>
      <w:r w:rsidRPr="005B13D0">
        <w:rPr>
          <w:rFonts w:ascii="Times New Roman Bold" w:eastAsia="MS Gothic" w:hAnsi="Times New Roman Bold" w:cs="Times New Roman"/>
          <w:b/>
          <w:bCs/>
          <w:smallCaps/>
          <w:szCs w:val="26"/>
          <w:u w:val="single"/>
        </w:rPr>
        <w:t>7.2 Education materials</w:t>
      </w:r>
      <w:bookmarkEnd w:id="54"/>
      <w:bookmarkEnd w:id="55"/>
      <w:bookmarkEnd w:id="56"/>
    </w:p>
    <w:p w14:paraId="024266D7" w14:textId="77777777" w:rsidR="005B13D0" w:rsidRDefault="005B13D0" w:rsidP="005B13D0">
      <w:pPr>
        <w:spacing w:line="276" w:lineRule="auto"/>
        <w:rPr>
          <w:rFonts w:eastAsia="Calibri" w:cs="Arial"/>
        </w:rPr>
      </w:pPr>
      <w:r w:rsidRPr="005B13D0">
        <w:rPr>
          <w:rFonts w:eastAsia="Calibri" w:cs="Arial"/>
        </w:rPr>
        <w:t>If the beneficiaries produce educational materials under the scope of the project, such materials must be made available through the Internet, free of charge and under open licenses</w:t>
      </w:r>
      <w:r w:rsidRPr="005B13D0">
        <w:rPr>
          <w:rFonts w:eastAsia="Calibri" w:cs="Times New Roman"/>
          <w:position w:val="4"/>
          <w:sz w:val="20"/>
          <w:vertAlign w:val="superscript"/>
        </w:rPr>
        <w:footnoteReference w:id="2"/>
      </w:r>
      <w:r w:rsidRPr="005B13D0">
        <w:rPr>
          <w:rFonts w:eastAsia="Calibri" w:cs="Arial"/>
        </w:rPr>
        <w:t xml:space="preserve">  The beneficiaries must ensure that the website address used is valid and up to date. If the website hosting is discontinued the beneficiaries must remove the website from the Organisation Registration System to avoid the risk that the domain is taken over by another party and redirected to other websites. </w:t>
      </w:r>
    </w:p>
    <w:p w14:paraId="5B4F1D17" w14:textId="77777777" w:rsidR="0002633C" w:rsidRPr="005B13D0" w:rsidRDefault="0002633C" w:rsidP="005B13D0">
      <w:pPr>
        <w:spacing w:line="276" w:lineRule="auto"/>
        <w:rPr>
          <w:rFonts w:eastAsia="Calibri" w:cs="Arial"/>
        </w:rPr>
      </w:pPr>
    </w:p>
    <w:p w14:paraId="486FFA7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57" w:name="_Toc117591134"/>
      <w:bookmarkStart w:id="58" w:name="_Toc117674748"/>
      <w:bookmarkStart w:id="59" w:name="_Toc117696679"/>
      <w:bookmarkStart w:id="60" w:name="_Toc122444431"/>
      <w:bookmarkStart w:id="61" w:name="_Toc218850021"/>
      <w:r w:rsidRPr="005B13D0">
        <w:rPr>
          <w:rFonts w:ascii="Times New Roman Bold" w:eastAsia="MS Gothic" w:hAnsi="Times New Roman Bold" w:cs="Times New Roman"/>
          <w:b/>
          <w:bCs/>
          <w:caps/>
          <w:szCs w:val="28"/>
          <w:u w:val="single"/>
        </w:rPr>
        <w:t>8. Communication, dissemination and visibility (Article 17.4)</w:t>
      </w:r>
      <w:bookmarkEnd w:id="57"/>
      <w:bookmarkEnd w:id="58"/>
      <w:bookmarkEnd w:id="59"/>
      <w:bookmarkEnd w:id="60"/>
      <w:bookmarkEnd w:id="61"/>
    </w:p>
    <w:p w14:paraId="0AE91941" w14:textId="77777777" w:rsidR="005B13D0" w:rsidRPr="005B13D0" w:rsidRDefault="005B13D0" w:rsidP="005B13D0">
      <w:pPr>
        <w:rPr>
          <w:rFonts w:eastAsia="Calibri" w:cs="Arial"/>
          <w:szCs w:val="24"/>
        </w:rPr>
      </w:pPr>
      <w:r w:rsidRPr="005B13D0">
        <w:rPr>
          <w:rFonts w:eastAsia="Calibri" w:cs="Arial"/>
          <w:szCs w:val="24"/>
        </w:rPr>
        <w:t>The beneficiaries must acknowledge the support received under the Erasmus+ programme in all communication and promotional materials, including on websites and social media.</w:t>
      </w:r>
    </w:p>
    <w:p w14:paraId="2B7A918E" w14:textId="77777777" w:rsidR="005B13D0" w:rsidRPr="005B13D0" w:rsidRDefault="005B13D0" w:rsidP="005B13D0">
      <w:pPr>
        <w:rPr>
          <w:rFonts w:eastAsia="Calibri" w:cs="Arial"/>
          <w:szCs w:val="24"/>
        </w:rPr>
      </w:pPr>
      <w:r w:rsidRPr="005B13D0">
        <w:rPr>
          <w:rFonts w:eastAsia="Calibri" w:cs="Arial"/>
          <w:szCs w:val="24"/>
        </w:rPr>
        <w:t xml:space="preserve">The guidelines on visual identity for the beneficiary and other third parties are available at: </w:t>
      </w:r>
    </w:p>
    <w:p w14:paraId="182EBE3E" w14:textId="77777777" w:rsidR="005B13D0" w:rsidRPr="005B13D0" w:rsidRDefault="005B13D0" w:rsidP="005B13D0">
      <w:pPr>
        <w:rPr>
          <w:rFonts w:eastAsia="Calibri" w:cs="Arial"/>
          <w:szCs w:val="24"/>
        </w:rPr>
      </w:pPr>
      <w:hyperlink r:id="rId7" w:history="1">
        <w:r w:rsidRPr="005B13D0">
          <w:rPr>
            <w:rFonts w:eastAsia="Calibri" w:cs="Arial"/>
            <w:color w:val="0088CC"/>
            <w:szCs w:val="24"/>
            <w:u w:val="single"/>
          </w:rPr>
          <w:t>https://commission.europa.eu/funding-tenders/managing-your-project/communicating-and-raising-eu-visibility_en</w:t>
        </w:r>
      </w:hyperlink>
    </w:p>
    <w:p w14:paraId="54451934"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rPr>
      </w:pPr>
      <w:bookmarkStart w:id="62" w:name="bookmark1279"/>
      <w:bookmarkStart w:id="63" w:name="bookmark1280"/>
      <w:bookmarkStart w:id="64" w:name="_Toc117674749"/>
      <w:bookmarkStart w:id="65" w:name="_Toc117696680"/>
      <w:bookmarkStart w:id="66" w:name="_Toc122444432"/>
      <w:bookmarkStart w:id="67" w:name="_Toc218850022"/>
      <w:bookmarkEnd w:id="62"/>
      <w:bookmarkEnd w:id="63"/>
      <w:r w:rsidRPr="005B13D0">
        <w:rPr>
          <w:rFonts w:ascii="Times New Roman Bold" w:eastAsia="MS Gothic" w:hAnsi="Times New Roman Bold" w:cs="Times New Roman"/>
          <w:b/>
          <w:bCs/>
          <w:smallCaps/>
          <w:szCs w:val="26"/>
          <w:u w:val="single"/>
        </w:rPr>
        <w:t>8.1 Erasmus+ Project Results Platform</w:t>
      </w:r>
      <w:bookmarkEnd w:id="64"/>
      <w:bookmarkEnd w:id="65"/>
      <w:bookmarkEnd w:id="66"/>
      <w:bookmarkEnd w:id="67"/>
    </w:p>
    <w:p w14:paraId="79E4C112" w14:textId="7E98FBB1" w:rsidR="005B13D0" w:rsidRDefault="005B13D0" w:rsidP="005B13D0">
      <w:pPr>
        <w:spacing w:after="0"/>
        <w:rPr>
          <w:rFonts w:eastAsia="Calibri" w:cs="Arial"/>
        </w:rPr>
      </w:pPr>
      <w:r w:rsidRPr="005B13D0">
        <w:rPr>
          <w:rFonts w:eastAsia="Calibri" w:cs="Arial"/>
        </w:rPr>
        <w:t>If the project has produced results that can be shared, the beneficiary will make them available to the Erasmus+ Project Results Platform by uploading them via the Beneficiary Module in accordance with the instructions (</w:t>
      </w:r>
      <w:hyperlink r:id="rId8" w:history="1">
        <w:r w:rsidR="00455F3B" w:rsidRPr="009D4EDD">
          <w:rPr>
            <w:rStyle w:val="Hyperlink"/>
            <w:rFonts w:eastAsia="Calibri" w:cs="Arial"/>
          </w:rPr>
          <w:t>http://ec.europa.eu/programmes/erasmus-plus/projects</w:t>
        </w:r>
      </w:hyperlink>
      <w:r w:rsidRPr="005B13D0">
        <w:rPr>
          <w:rFonts w:eastAsia="Calibri" w:cs="Arial"/>
          <w:color w:val="0088CC"/>
          <w:u w:val="single"/>
        </w:rPr>
        <w:t>)</w:t>
      </w:r>
      <w:r w:rsidRPr="005B13D0">
        <w:rPr>
          <w:rFonts w:eastAsia="Calibri" w:cs="Arial"/>
        </w:rPr>
        <w:t xml:space="preserve"> </w:t>
      </w:r>
    </w:p>
    <w:p w14:paraId="7E52469C" w14:textId="77777777" w:rsidR="00455F3B" w:rsidRDefault="00455F3B" w:rsidP="005B13D0">
      <w:pPr>
        <w:spacing w:after="0"/>
        <w:rPr>
          <w:rFonts w:eastAsia="Calibri" w:cs="Arial"/>
        </w:rPr>
      </w:pPr>
    </w:p>
    <w:p w14:paraId="3535CBB6" w14:textId="77777777" w:rsidR="00455F3B" w:rsidRPr="005B13D0" w:rsidRDefault="00455F3B" w:rsidP="005B13D0">
      <w:pPr>
        <w:spacing w:after="0"/>
        <w:rPr>
          <w:rFonts w:eastAsia="Calibri" w:cs="Arial"/>
          <w:b/>
          <w:bCs/>
          <w:highlight w:val="lightGray"/>
          <w:u w:val="single"/>
          <w:shd w:val="clear" w:color="auto" w:fill="00FFFF"/>
        </w:rPr>
      </w:pPr>
    </w:p>
    <w:p w14:paraId="53760433" w14:textId="35917713" w:rsidR="0002633C" w:rsidRPr="005B13D0" w:rsidRDefault="005B13D0" w:rsidP="00455F3B">
      <w:pPr>
        <w:keepNext/>
        <w:keepLines/>
        <w:spacing w:before="200"/>
        <w:ind w:left="1797" w:hanging="1797"/>
        <w:outlineLvl w:val="0"/>
        <w:rPr>
          <w:rFonts w:ascii="Times New Roman Bold" w:eastAsia="MS Gothic" w:hAnsi="Times New Roman Bold" w:cs="Times New Roman"/>
          <w:b/>
          <w:bCs/>
          <w:caps/>
          <w:szCs w:val="28"/>
          <w:u w:val="single"/>
        </w:rPr>
      </w:pPr>
      <w:bookmarkStart w:id="68" w:name="bookmark1281"/>
      <w:bookmarkStart w:id="69" w:name="_Toc117591135"/>
      <w:bookmarkStart w:id="70" w:name="_Toc117674750"/>
      <w:bookmarkStart w:id="71" w:name="_Toc117696681"/>
      <w:bookmarkStart w:id="72" w:name="_Toc122444433"/>
      <w:bookmarkStart w:id="73" w:name="_Toc218850023"/>
      <w:bookmarkEnd w:id="68"/>
      <w:r w:rsidRPr="005B13D0">
        <w:rPr>
          <w:rFonts w:ascii="Times New Roman Bold" w:eastAsia="MS Gothic" w:hAnsi="Times New Roman Bold" w:cs="Times New Roman"/>
          <w:b/>
          <w:bCs/>
          <w:caps/>
          <w:szCs w:val="28"/>
          <w:u w:val="single"/>
        </w:rPr>
        <w:t>9. Specific rules for carrying out the project (Article 18)</w:t>
      </w:r>
      <w:bookmarkEnd w:id="69"/>
      <w:bookmarkEnd w:id="70"/>
      <w:bookmarkEnd w:id="71"/>
      <w:bookmarkEnd w:id="72"/>
      <w:bookmarkEnd w:id="73"/>
    </w:p>
    <w:p w14:paraId="5802F8FB"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rPr>
      </w:pPr>
      <w:bookmarkStart w:id="74" w:name="_Toc117674751"/>
      <w:bookmarkStart w:id="75" w:name="_Toc117696682"/>
      <w:bookmarkStart w:id="76" w:name="_Toc122444434"/>
      <w:bookmarkStart w:id="77" w:name="_Toc218850024"/>
      <w:r w:rsidRPr="005B13D0">
        <w:rPr>
          <w:rFonts w:ascii="Times New Roman Bold" w:eastAsia="MS Gothic" w:hAnsi="Times New Roman Bold" w:cs="Times New Roman"/>
          <w:b/>
          <w:bCs/>
          <w:smallCaps/>
          <w:szCs w:val="26"/>
          <w:u w:val="single"/>
        </w:rPr>
        <w:t>9.1 EU restrictive measures</w:t>
      </w:r>
      <w:bookmarkEnd w:id="74"/>
      <w:bookmarkEnd w:id="75"/>
      <w:bookmarkEnd w:id="76"/>
      <w:bookmarkEnd w:id="77"/>
    </w:p>
    <w:p w14:paraId="0516A821" w14:textId="77777777" w:rsidR="005B13D0" w:rsidRPr="005B13D0" w:rsidRDefault="005B13D0" w:rsidP="005B13D0">
      <w:pPr>
        <w:widowControl w:val="0"/>
        <w:spacing w:after="0" w:line="276" w:lineRule="auto"/>
        <w:rPr>
          <w:rFonts w:eastAsia="Calibri" w:cs="Times New Roman"/>
          <w:szCs w:val="24"/>
        </w:rPr>
      </w:pPr>
      <w:r w:rsidRPr="005B13D0">
        <w:rPr>
          <w:rFonts w:eastAsia="Calibri" w:cs="Times New Roman"/>
          <w:szCs w:val="24"/>
        </w:rPr>
        <w:t xml:space="preserve">The beneficiaries must ensure that the EU grant does not benefit any associated partners, subcontractors or recipients of financial support to third parties that are subject to restrictive </w:t>
      </w:r>
      <w:r w:rsidRPr="005B13D0">
        <w:rPr>
          <w:rFonts w:eastAsia="Calibri" w:cs="Times New Roman"/>
          <w:szCs w:val="24"/>
        </w:rPr>
        <w:lastRenderedPageBreak/>
        <w:t>measures adopted under Article 29 of the Treaty on the European Union or Article 215 of the Treaty on the Functioning of the EU (TFEU).</w:t>
      </w:r>
    </w:p>
    <w:p w14:paraId="513C9F8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rPr>
      </w:pPr>
      <w:bookmarkStart w:id="78" w:name="_Toc218850025"/>
      <w:r w:rsidRPr="005B13D0">
        <w:rPr>
          <w:rFonts w:ascii="Times New Roman Bold" w:eastAsia="MS Gothic" w:hAnsi="Times New Roman Bold" w:cs="Times New Roman"/>
          <w:b/>
          <w:bCs/>
          <w:smallCaps/>
          <w:szCs w:val="26"/>
          <w:u w:val="single"/>
        </w:rPr>
        <w:t>9.2 Obligatory information sessions and training</w:t>
      </w:r>
      <w:bookmarkEnd w:id="78"/>
    </w:p>
    <w:p w14:paraId="1DC0D7F6" w14:textId="77777777" w:rsid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beneficiary must attend information sessions and trainings that the National Agency defines as obligatory.</w:t>
      </w:r>
    </w:p>
    <w:p w14:paraId="64C8AE87" w14:textId="77777777" w:rsidR="0002633C" w:rsidRPr="005B13D0" w:rsidRDefault="0002633C" w:rsidP="005B13D0">
      <w:pPr>
        <w:widowControl w:val="0"/>
        <w:spacing w:after="0" w:line="276" w:lineRule="auto"/>
        <w:rPr>
          <w:rFonts w:eastAsia="Calibri" w:cs="Times New Roman"/>
          <w:szCs w:val="24"/>
        </w:rPr>
      </w:pPr>
    </w:p>
    <w:p w14:paraId="0A29AAA6"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79" w:name="_Toc117591136"/>
      <w:bookmarkStart w:id="80" w:name="_Toc117674752"/>
      <w:bookmarkStart w:id="81" w:name="_Toc117696683"/>
      <w:bookmarkStart w:id="82" w:name="_Toc122444435"/>
      <w:bookmarkStart w:id="83" w:name="_Toc218850026"/>
      <w:r w:rsidRPr="005B13D0">
        <w:rPr>
          <w:rFonts w:ascii="Times New Roman Bold" w:eastAsia="MS Gothic" w:hAnsi="Times New Roman Bold" w:cs="Times New Roman"/>
          <w:b/>
          <w:bCs/>
          <w:caps/>
          <w:szCs w:val="28"/>
          <w:u w:val="single"/>
        </w:rPr>
        <w:t>10. Reporting (Article 21)</w:t>
      </w:r>
      <w:bookmarkEnd w:id="79"/>
      <w:bookmarkEnd w:id="80"/>
      <w:bookmarkEnd w:id="81"/>
      <w:bookmarkEnd w:id="82"/>
      <w:bookmarkEnd w:id="83"/>
    </w:p>
    <w:p w14:paraId="7B845135" w14:textId="77777777" w:rsidR="005B13D0" w:rsidRPr="005B13D0" w:rsidRDefault="005B13D0" w:rsidP="005B13D0">
      <w:pPr>
        <w:keepNext/>
        <w:keepLines/>
        <w:spacing w:before="200"/>
        <w:ind w:left="1622" w:hanging="1622"/>
        <w:outlineLvl w:val="1"/>
        <w:rPr>
          <w:rFonts w:ascii="Cambria" w:eastAsia="Times New Roman" w:hAnsi="Cambria" w:cs="Times New Roman"/>
          <w:b/>
          <w:bCs/>
          <w:smallCaps/>
          <w:color w:val="4F81BD"/>
          <w:szCs w:val="26"/>
          <w:u w:val="single"/>
          <w:lang w:eastAsia="en-GB"/>
        </w:rPr>
      </w:pPr>
      <w:bookmarkStart w:id="84" w:name="_Toc72499022"/>
      <w:bookmarkStart w:id="85" w:name="_Toc102463253"/>
      <w:bookmarkStart w:id="86" w:name="_Toc117674753"/>
      <w:bookmarkStart w:id="87" w:name="_Toc117696684"/>
      <w:bookmarkStart w:id="88" w:name="_Toc122444436"/>
      <w:bookmarkStart w:id="89" w:name="_Toc218850027"/>
      <w:r w:rsidRPr="005B13D0">
        <w:rPr>
          <w:rFonts w:ascii="Times New Roman Bold" w:eastAsia="MS Gothic" w:hAnsi="Times New Roman Bold" w:cs="Times New Roman"/>
          <w:b/>
          <w:bCs/>
          <w:smallCaps/>
          <w:szCs w:val="26"/>
          <w:u w:val="single"/>
        </w:rPr>
        <w:t>10.1 Erasmus+ reporting and management tool</w:t>
      </w:r>
      <w:bookmarkEnd w:id="84"/>
      <w:bookmarkEnd w:id="85"/>
      <w:bookmarkEnd w:id="86"/>
      <w:bookmarkEnd w:id="87"/>
      <w:bookmarkEnd w:id="88"/>
      <w:bookmarkEnd w:id="89"/>
    </w:p>
    <w:p w14:paraId="1E2C5338"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The beneficiary  must make use of the web-based reporting and management tool provided by the European Commission to record all information in relation to the activities undertaken under the project (including activities that were not directly supported with a grant from EU funds) and to complete and submit the final report, periodic report(s) and progress report(s) (if available in the Erasmus+ reporting and management tool and for the cases specified in Article 21.2). Technical steps are detailed in the Beneficiary Guide available at https://webgate.ec.europa.eu/erasmus-esc/index/support/beneficiary-guide. The beneficiary may not outsource the reporting task and may not provide access to the reporting and management tool to persons external to the beneficiary.</w:t>
      </w:r>
    </w:p>
    <w:p w14:paraId="258153A7" w14:textId="77777777" w:rsidR="005B13D0" w:rsidRPr="005B13D0" w:rsidRDefault="005B13D0" w:rsidP="005B13D0">
      <w:pPr>
        <w:spacing w:line="276" w:lineRule="auto"/>
        <w:rPr>
          <w:rFonts w:eastAsia="Calibri" w:cs="Arial"/>
          <w:lang w:eastAsia="ar-SA"/>
        </w:rPr>
      </w:pPr>
      <w:r w:rsidRPr="005B13D0">
        <w:rPr>
          <w:rFonts w:eastAsia="Calibri" w:cs="Arial"/>
          <w:lang w:eastAsia="ar-SA"/>
        </w:rPr>
        <w:t>Activities must be encoded in the Erasmus+ reporting and management tool before their start date and reviewed once they are completed.</w:t>
      </w:r>
    </w:p>
    <w:p w14:paraId="6D72EC02"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90" w:name="_Toc122444437"/>
      <w:bookmarkStart w:id="91" w:name="_Toc218850028"/>
      <w:r w:rsidRPr="005B13D0">
        <w:rPr>
          <w:rFonts w:ascii="Times New Roman Bold" w:eastAsia="MS Gothic" w:hAnsi="Times New Roman Bold" w:cs="Times New Roman"/>
          <w:b/>
          <w:bCs/>
          <w:smallCaps/>
          <w:szCs w:val="26"/>
          <w:u w:val="single"/>
          <w:lang w:eastAsia="ar-SA"/>
        </w:rPr>
        <w:t>10.2 Periodic report and Progress report</w:t>
      </w:r>
      <w:bookmarkEnd w:id="90"/>
      <w:bookmarkEnd w:id="91"/>
    </w:p>
    <w:p w14:paraId="3EBC9E25" w14:textId="77777777" w:rsidR="005B13D0" w:rsidRPr="005B13D0" w:rsidRDefault="005B13D0" w:rsidP="005B13D0">
      <w:pPr>
        <w:widowControl w:val="0"/>
        <w:spacing w:after="120"/>
        <w:rPr>
          <w:rFonts w:eastAsia="Calibri" w:cs="Arial"/>
          <w:lang w:eastAsia="ar-SA"/>
        </w:rPr>
      </w:pPr>
      <w:r w:rsidRPr="005B13D0">
        <w:rPr>
          <w:rFonts w:eastAsia="Calibri" w:cs="Arial"/>
          <w:lang w:eastAsia="ar-SA"/>
        </w:rPr>
        <w:t xml:space="preserve">The periodic and progress reports must include an overview of project implementation. In addition, periodic report must contain a financial statement. </w:t>
      </w:r>
    </w:p>
    <w:p w14:paraId="650BD6AB" w14:textId="77777777" w:rsidR="005B13D0" w:rsidRPr="005B13D0" w:rsidRDefault="005B13D0" w:rsidP="005B13D0">
      <w:pPr>
        <w:spacing w:line="276" w:lineRule="auto"/>
        <w:rPr>
          <w:rFonts w:eastAsia="Calibri" w:cs="Arial"/>
          <w:lang w:eastAsia="ar-SA"/>
        </w:rPr>
      </w:pPr>
      <w:r w:rsidRPr="005B13D0">
        <w:rPr>
          <w:rFonts w:eastAsia="Calibri" w:cs="Arial"/>
          <w:lang w:eastAsia="ar-SA"/>
        </w:rPr>
        <w:t>The reports must be prepared using the template available in the Erasmus+ reporting and management tool or alternatively provided by the National Agency (if any). By signing the report, the beneficiaries confirm that the information provided is true, complete, and substantiated by the relevant supporting documents which can be produced during a check.</w:t>
      </w:r>
    </w:p>
    <w:p w14:paraId="67E012D3" w14:textId="77777777" w:rsidR="005B13D0" w:rsidRPr="005B13D0" w:rsidRDefault="005B13D0" w:rsidP="005B13D0">
      <w:pPr>
        <w:keepNext/>
        <w:keepLines/>
        <w:spacing w:before="200"/>
        <w:ind w:left="1622" w:hanging="1622"/>
        <w:outlineLvl w:val="1"/>
        <w:rPr>
          <w:rFonts w:ascii="Times New Roman Bold" w:eastAsia="Calibri" w:hAnsi="Times New Roman Bold" w:cs="Times New Roman"/>
          <w:b/>
          <w:bCs/>
          <w:smallCaps/>
          <w:szCs w:val="26"/>
          <w:u w:val="single"/>
          <w:lang w:eastAsia="ar-SA"/>
        </w:rPr>
      </w:pPr>
      <w:bookmarkStart w:id="92" w:name="_Toc529785734"/>
      <w:bookmarkStart w:id="93" w:name="_Toc529786067"/>
      <w:bookmarkStart w:id="94" w:name="_Toc529785735"/>
      <w:bookmarkStart w:id="95" w:name="_Toc529786068"/>
      <w:bookmarkStart w:id="96" w:name="_Toc529785736"/>
      <w:bookmarkStart w:id="97" w:name="_Toc529786069"/>
      <w:bookmarkStart w:id="98" w:name="_Toc529785737"/>
      <w:bookmarkStart w:id="99" w:name="_Toc529786070"/>
      <w:bookmarkStart w:id="100" w:name="_Toc529785738"/>
      <w:bookmarkStart w:id="101" w:name="_Toc529786071"/>
      <w:bookmarkStart w:id="102" w:name="_Toc102463255"/>
      <w:bookmarkStart w:id="103" w:name="_Toc117674754"/>
      <w:bookmarkStart w:id="104" w:name="_Toc117696685"/>
      <w:bookmarkStart w:id="105" w:name="_Toc122444438"/>
      <w:bookmarkStart w:id="106" w:name="_Toc218850029"/>
      <w:bookmarkEnd w:id="92"/>
      <w:bookmarkEnd w:id="93"/>
      <w:bookmarkEnd w:id="94"/>
      <w:bookmarkEnd w:id="95"/>
      <w:bookmarkEnd w:id="96"/>
      <w:bookmarkEnd w:id="97"/>
      <w:bookmarkEnd w:id="98"/>
      <w:bookmarkEnd w:id="99"/>
      <w:bookmarkEnd w:id="100"/>
      <w:bookmarkEnd w:id="101"/>
      <w:bookmarkEnd w:id="102"/>
      <w:r w:rsidRPr="005B13D0">
        <w:rPr>
          <w:rFonts w:ascii="Times New Roman Bold" w:eastAsia="MS Gothic" w:hAnsi="Times New Roman Bold" w:cs="Times New Roman"/>
          <w:b/>
          <w:bCs/>
          <w:smallCaps/>
          <w:szCs w:val="26"/>
          <w:u w:val="single"/>
          <w:lang w:eastAsia="ar-SA"/>
        </w:rPr>
        <w:t>10.3 Final report</w:t>
      </w:r>
      <w:bookmarkEnd w:id="103"/>
      <w:bookmarkEnd w:id="104"/>
      <w:bookmarkEnd w:id="105"/>
      <w:bookmarkEnd w:id="106"/>
    </w:p>
    <w:p w14:paraId="1A3F1C92" w14:textId="77777777" w:rsidR="005B13D0" w:rsidRPr="005B13D0" w:rsidRDefault="005B13D0" w:rsidP="005B13D0">
      <w:pPr>
        <w:suppressAutoHyphens/>
        <w:spacing w:line="276" w:lineRule="auto"/>
        <w:rPr>
          <w:rFonts w:eastAsia="Calibri" w:cs="Arial"/>
        </w:rPr>
      </w:pPr>
      <w:r w:rsidRPr="005B13D0">
        <w:rPr>
          <w:rFonts w:eastAsia="Calibri" w:cs="Times New Roman"/>
        </w:rPr>
        <w:t>The</w:t>
      </w:r>
      <w:r w:rsidRPr="005B13D0">
        <w:rPr>
          <w:rFonts w:eastAsia="Calibri" w:cs="Arial"/>
        </w:rPr>
        <w:t xml:space="preserve"> final report must include an overview of project implementation</w:t>
      </w:r>
      <w:r w:rsidRPr="005B13D0" w:rsidDel="0078748A">
        <w:rPr>
          <w:rFonts w:eastAsia="Calibri" w:cs="Arial"/>
        </w:rPr>
        <w:t xml:space="preserve"> </w:t>
      </w:r>
      <w:r w:rsidRPr="005B13D0">
        <w:rPr>
          <w:rFonts w:eastAsia="Calibri" w:cs="Arial"/>
        </w:rPr>
        <w:t>and a financial statement.</w:t>
      </w:r>
    </w:p>
    <w:p w14:paraId="04F1BEA1" w14:textId="77777777" w:rsidR="005B13D0" w:rsidRPr="005B13D0" w:rsidRDefault="005B13D0" w:rsidP="005B13D0">
      <w:pPr>
        <w:rPr>
          <w:rFonts w:eastAsia="Calibri" w:cs="Arial"/>
        </w:rPr>
      </w:pPr>
      <w:r w:rsidRPr="005B13D0">
        <w:rPr>
          <w:rFonts w:eastAsia="Calibri" w:cs="Arial"/>
          <w:szCs w:val="24"/>
        </w:rPr>
        <w:t>T</w:t>
      </w:r>
      <w:r w:rsidRPr="005B13D0">
        <w:rPr>
          <w:rFonts w:eastAsia="Calibri" w:cs="Arial"/>
        </w:rPr>
        <w:t>he National Agency may request relevant supporting documentation for any of the activities, ,costs and contributions that the beneficiary declares in the final report.</w:t>
      </w:r>
    </w:p>
    <w:p w14:paraId="492AE4FA"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107" w:name="_Toc117674755"/>
      <w:bookmarkStart w:id="108" w:name="_Toc117696686"/>
      <w:bookmarkStart w:id="109" w:name="_Toc122444439"/>
      <w:bookmarkStart w:id="110" w:name="_Toc218850030"/>
      <w:r w:rsidRPr="005B13D0">
        <w:rPr>
          <w:rFonts w:ascii="Times New Roman Bold" w:eastAsia="MS Gothic" w:hAnsi="Times New Roman Bold" w:cs="Times New Roman"/>
          <w:b/>
          <w:bCs/>
          <w:smallCaps/>
          <w:szCs w:val="26"/>
          <w:u w:val="single"/>
          <w:lang w:eastAsia="ar-SA"/>
        </w:rPr>
        <w:t>10.4 Assessment of the final report</w:t>
      </w:r>
      <w:bookmarkEnd w:id="107"/>
      <w:bookmarkEnd w:id="108"/>
      <w:bookmarkEnd w:id="109"/>
      <w:bookmarkEnd w:id="110"/>
    </w:p>
    <w:p w14:paraId="0D9F3765" w14:textId="77777777" w:rsidR="005B13D0" w:rsidRPr="005B13D0" w:rsidRDefault="005B13D0" w:rsidP="005B13D0">
      <w:pPr>
        <w:widowControl w:val="0"/>
        <w:spacing w:after="120"/>
        <w:rPr>
          <w:rFonts w:eastAsia="Calibri" w:cs="Times New Roman"/>
          <w:szCs w:val="24"/>
          <w:lang w:eastAsia="ar-SA"/>
        </w:rPr>
      </w:pPr>
      <w:r w:rsidRPr="005B13D0">
        <w:rPr>
          <w:rFonts w:eastAsia="Calibri" w:cs="Times New Roman"/>
          <w:szCs w:val="24"/>
          <w:lang w:eastAsia="ar-SA"/>
        </w:rPr>
        <w:t xml:space="preserve">The beneficiary must submit the final report after the project end date. </w:t>
      </w:r>
    </w:p>
    <w:p w14:paraId="42139FE9" w14:textId="77777777" w:rsidR="00513E9A" w:rsidRDefault="00513E9A" w:rsidP="005B13D0">
      <w:pPr>
        <w:suppressAutoHyphens/>
        <w:spacing w:line="276" w:lineRule="auto"/>
        <w:rPr>
          <w:rFonts w:eastAsia="Calibri" w:cs="Times New Roman"/>
          <w:szCs w:val="24"/>
          <w:lang w:eastAsia="ar-SA"/>
        </w:rPr>
      </w:pPr>
    </w:p>
    <w:p w14:paraId="48B13E7B" w14:textId="6047EB1D"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lastRenderedPageBreak/>
        <w:t>The final report will be assessed in conjunction with the participant reports, using a common set of quality criteria focusing on:</w:t>
      </w:r>
    </w:p>
    <w:p w14:paraId="52B6D8F0" w14:textId="77777777" w:rsidR="005B13D0" w:rsidRPr="005B13D0" w:rsidRDefault="005B13D0" w:rsidP="005B13D0">
      <w:pPr>
        <w:numPr>
          <w:ilvl w:val="0"/>
          <w:numId w:val="70"/>
        </w:numPr>
        <w:suppressAutoHyphens/>
        <w:spacing w:line="276" w:lineRule="auto"/>
        <w:rPr>
          <w:rFonts w:eastAsia="Calibri" w:cs="Times New Roman"/>
          <w:szCs w:val="24"/>
          <w:lang w:eastAsia="ar-SA"/>
        </w:rPr>
      </w:pPr>
      <w:r w:rsidRPr="005B13D0">
        <w:rPr>
          <w:rFonts w:eastAsia="Calibri" w:cs="Times New Roman"/>
          <w:szCs w:val="24"/>
          <w:lang w:eastAsia="ar-SA"/>
        </w:rPr>
        <w:t>The extent to which the project was implemented in line with the grant agreement.</w:t>
      </w:r>
    </w:p>
    <w:p w14:paraId="4BAD4A60" w14:textId="77777777" w:rsidR="005B13D0" w:rsidRPr="005B13D0" w:rsidRDefault="005B13D0" w:rsidP="005B13D0">
      <w:pPr>
        <w:numPr>
          <w:ilvl w:val="0"/>
          <w:numId w:val="70"/>
        </w:numPr>
        <w:suppressAutoHyphens/>
        <w:spacing w:line="276" w:lineRule="auto"/>
        <w:rPr>
          <w:rFonts w:eastAsia="Calibri" w:cs="Times New Roman"/>
          <w:szCs w:val="24"/>
          <w:lang w:eastAsia="ar-SA"/>
        </w:rPr>
      </w:pPr>
      <w:r w:rsidRPr="005B13D0">
        <w:rPr>
          <w:rFonts w:eastAsia="Calibri" w:cs="Times New Roman"/>
          <w:szCs w:val="24"/>
          <w:lang w:eastAsia="ar-SA"/>
        </w:rPr>
        <w:t>The extent to which the project was implemented in respect of the quality and compliance requirements set out in the Erasmus Charter for Higher Education and the applicable inter-institutional agreement(s).</w:t>
      </w:r>
    </w:p>
    <w:p w14:paraId="520B20E3" w14:textId="77777777" w:rsidR="005B13D0" w:rsidRPr="005B13D0" w:rsidRDefault="005B13D0" w:rsidP="005B13D0">
      <w:pPr>
        <w:numPr>
          <w:ilvl w:val="0"/>
          <w:numId w:val="70"/>
        </w:numPr>
        <w:suppressAutoHyphens/>
        <w:spacing w:line="276" w:lineRule="auto"/>
        <w:rPr>
          <w:rFonts w:eastAsia="Calibri" w:cs="Times New Roman"/>
          <w:szCs w:val="24"/>
          <w:lang w:eastAsia="ar-SA"/>
        </w:rPr>
      </w:pPr>
      <w:r w:rsidRPr="005B13D0">
        <w:rPr>
          <w:rFonts w:eastAsia="Calibri" w:cs="Times New Roman"/>
          <w:szCs w:val="24"/>
          <w:lang w:eastAsia="ar-SA"/>
        </w:rPr>
        <w:t>The extent to which the grant amounts due to mobility participants were transferred to them in accordance with the contractual provisions set out in the agreement between the beneficiary and the participant following the templates provided in Annex 6 of the Agreement.</w:t>
      </w:r>
    </w:p>
    <w:p w14:paraId="0FF98068" w14:textId="05EA8876" w:rsid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The final report will be scored on a total of maximum 100 points. If the National Agency considers that the implementation of the project does not respect the quality commitment undertaken by the beneficiary, the National Agency may in addition or alternatively require the beneficiary to develop and implement an action plan within an agreed timeframe to ensure respect of the applicable requirements. If the beneficiary does not implement the action plan in a satisfactory manner by the due date, the National Agency may recommend to the European Commission to withdraw the Erasmus Charter for Higher Education of the beneficiary.</w:t>
      </w:r>
    </w:p>
    <w:p w14:paraId="3C16D9D0" w14:textId="77777777" w:rsidR="00513E9A" w:rsidRPr="005B13D0" w:rsidRDefault="00513E9A" w:rsidP="005B13D0">
      <w:pPr>
        <w:suppressAutoHyphens/>
        <w:spacing w:line="276" w:lineRule="auto"/>
        <w:rPr>
          <w:rFonts w:eastAsia="Calibri" w:cs="Times New Roman"/>
          <w:lang w:eastAsia="ar-SA"/>
        </w:rPr>
      </w:pPr>
    </w:p>
    <w:p w14:paraId="71BFC462"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lang w:eastAsia="ar-SA"/>
        </w:rPr>
      </w:pPr>
      <w:bookmarkStart w:id="111" w:name="_Toc117674756"/>
      <w:bookmarkStart w:id="112" w:name="_Toc117696687"/>
      <w:bookmarkStart w:id="113" w:name="_Toc122444440"/>
      <w:bookmarkStart w:id="114" w:name="_Toc218850031"/>
      <w:r w:rsidRPr="005B13D0">
        <w:rPr>
          <w:rFonts w:ascii="Times New Roman Bold" w:eastAsia="MS Gothic" w:hAnsi="Times New Roman Bold" w:cs="Times New Roman" w:hint="eastAsia"/>
          <w:b/>
          <w:bCs/>
          <w:szCs w:val="28"/>
          <w:u w:val="single"/>
          <w:lang w:eastAsia="ar-SA"/>
        </w:rPr>
        <w:t>11. AMOUNTS DUE (ARTICLE 22.3)</w:t>
      </w:r>
      <w:bookmarkEnd w:id="111"/>
      <w:bookmarkEnd w:id="112"/>
      <w:bookmarkEnd w:id="113"/>
      <w:bookmarkEnd w:id="114"/>
    </w:p>
    <w:p w14:paraId="64DDE30D" w14:textId="04D3C222"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 xml:space="preserve">If no further prefinancing payment is foreseen in the Data Sheet, the beneficiary may nonetheless request it without requesting an amendment to the grant agreement. The request must be duly justified and accompanied by a periodic report. The request may not exceed </w:t>
      </w:r>
      <w:r w:rsidR="003F5E73">
        <w:rPr>
          <w:rFonts w:eastAsia="Calibri" w:cs="Times New Roman"/>
          <w:lang w:eastAsia="ar-SA"/>
        </w:rPr>
        <w:t>100</w:t>
      </w:r>
      <w:r w:rsidRPr="003F5E73">
        <w:rPr>
          <w:rFonts w:eastAsia="Calibri" w:cs="Times New Roman"/>
          <w:lang w:eastAsia="ar-SA"/>
        </w:rPr>
        <w:t>%</w:t>
      </w:r>
      <w:r w:rsidRPr="005B13D0">
        <w:rPr>
          <w:rFonts w:eastAsia="Calibri" w:cs="Times New Roman"/>
          <w:lang w:eastAsia="ar-SA"/>
        </w:rPr>
        <w:t xml:space="preserve"> of the maximum grant awarded specified in Point 3 of the Data sheet and may be made only once at least 70 % of the amount of the previous prefinancing payments have been implemented.</w:t>
      </w:r>
      <w:r w:rsidRPr="005B13D0">
        <w:rPr>
          <w:rFonts w:eastAsia="Calibri" w:cs="Arial"/>
          <w:lang w:eastAsia="ar-SA"/>
        </w:rPr>
        <w:t xml:space="preserve"> </w:t>
      </w:r>
    </w:p>
    <w:p w14:paraId="2F5C68E1"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 xml:space="preserve">The beneficiary must ensure that the activities of the project for which the grant was awarded are eligible in accordance with the rules set out in the Erasmus+ Programme Guide and with this Agreement. </w:t>
      </w:r>
    </w:p>
    <w:p w14:paraId="07303C95" w14:textId="77777777" w:rsid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National Agency will consider ineligible any activity or cost that is not compliant with the rules set out in the Erasmus+ Programme Guide and this Agreement. The grant amounts corresponding to those activities and costs will be recovered in full.</w:t>
      </w:r>
    </w:p>
    <w:p w14:paraId="66DFE089" w14:textId="77777777" w:rsidR="00513E9A" w:rsidRPr="005B13D0" w:rsidRDefault="00513E9A" w:rsidP="005B13D0">
      <w:pPr>
        <w:suppressAutoHyphens/>
        <w:spacing w:line="276" w:lineRule="auto"/>
        <w:rPr>
          <w:rFonts w:eastAsia="Calibri" w:cs="Times New Roman"/>
          <w:szCs w:val="24"/>
          <w:lang w:eastAsia="ar-SA"/>
        </w:rPr>
      </w:pPr>
    </w:p>
    <w:p w14:paraId="61D9C94E" w14:textId="77777777" w:rsidR="005B13D0" w:rsidRPr="005B13D0" w:rsidRDefault="005B13D0" w:rsidP="005B13D0">
      <w:pPr>
        <w:keepNext/>
        <w:keepLines/>
        <w:spacing w:before="200"/>
        <w:ind w:left="1797" w:hanging="1797"/>
        <w:outlineLvl w:val="0"/>
        <w:rPr>
          <w:rFonts w:eastAsia="MS Gothic" w:cs="Times New Roman"/>
          <w:b/>
          <w:bCs/>
          <w:caps/>
          <w:szCs w:val="24"/>
          <w:u w:val="single"/>
        </w:rPr>
      </w:pPr>
      <w:bookmarkStart w:id="115" w:name="_Toc117591138"/>
      <w:bookmarkStart w:id="116" w:name="_Toc117674757"/>
      <w:bookmarkStart w:id="117" w:name="_Toc117696688"/>
      <w:bookmarkStart w:id="118" w:name="_Toc122444441"/>
      <w:bookmarkStart w:id="119" w:name="_Toc218850032"/>
      <w:r w:rsidRPr="005B13D0">
        <w:rPr>
          <w:rFonts w:ascii="Times New Roman Bold" w:eastAsia="MS Gothic" w:hAnsi="Times New Roman Bold" w:cs="Times New Roman"/>
          <w:b/>
          <w:bCs/>
          <w:caps/>
          <w:szCs w:val="28"/>
          <w:u w:val="single"/>
        </w:rPr>
        <w:t>12. Checks, reviews, audits and investigations</w:t>
      </w:r>
      <w:r w:rsidRPr="005B13D0">
        <w:rPr>
          <w:rFonts w:eastAsia="MS Gothic" w:cs="Times New Roman"/>
          <w:b/>
          <w:bCs/>
          <w:caps/>
          <w:szCs w:val="24"/>
          <w:u w:val="single"/>
        </w:rPr>
        <w:t xml:space="preserve"> </w:t>
      </w:r>
      <w:r w:rsidRPr="005B13D0">
        <w:rPr>
          <w:rFonts w:eastAsia="MS Gothic" w:cs="Times New Roman"/>
          <w:b/>
          <w:caps/>
          <w:szCs w:val="24"/>
          <w:u w:val="single"/>
        </w:rPr>
        <w:t>(</w:t>
      </w:r>
      <w:r w:rsidRPr="005B13D0">
        <w:rPr>
          <w:rFonts w:eastAsia="MS Gothic" w:cs="Times New Roman"/>
          <w:b/>
          <w:bCs/>
          <w:caps/>
          <w:szCs w:val="24"/>
          <w:u w:val="single"/>
        </w:rPr>
        <w:t>Article 25)</w:t>
      </w:r>
      <w:bookmarkEnd w:id="115"/>
      <w:bookmarkEnd w:id="116"/>
      <w:bookmarkEnd w:id="117"/>
      <w:bookmarkEnd w:id="118"/>
      <w:bookmarkEnd w:id="119"/>
    </w:p>
    <w:p w14:paraId="7B0C96BD"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 xml:space="preserve">For the purposes of Articles 21 and 25, the coordinator or the concerned beneficiaries must provide to the National Agency physical or electronic copies of supporting documents specified </w:t>
      </w:r>
      <w:r w:rsidRPr="005B13D0">
        <w:rPr>
          <w:rFonts w:eastAsia="Calibri" w:cs="Arial"/>
          <w:szCs w:val="24"/>
          <w:lang w:eastAsia="ar-SA"/>
        </w:rPr>
        <w:lastRenderedPageBreak/>
        <w:t>in Annex 2, unless the National Agency makes a request for originals to be delivered. The National Agency must return original supporting documents to the concerned beneficiary upon its analysis thereof. If the beneficiary is legally not authorised to send original documents, a copy of the supporting documents will be sent instead.</w:t>
      </w:r>
    </w:p>
    <w:p w14:paraId="2CFFD5F6"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project may be subject to internal checks and project reviews.in the form of desk checks, on-the-spot checks or system checks.</w:t>
      </w:r>
      <w:r w:rsidRPr="005B13D0" w:rsidDel="0089789F">
        <w:rPr>
          <w:rFonts w:eastAsia="Calibri" w:cs="Arial"/>
          <w:szCs w:val="24"/>
          <w:lang w:eastAsia="ar-SA"/>
        </w:rPr>
        <w:t xml:space="preserve"> </w:t>
      </w:r>
      <w:r w:rsidRPr="005B13D0">
        <w:rPr>
          <w:rFonts w:eastAsia="Calibri" w:cs="Arial"/>
          <w:szCs w:val="24"/>
          <w:lang w:eastAsia="ar-SA"/>
        </w:rPr>
        <w:t>In this context, the beneficiary may be requested by the National Agency to provide additional supporting documents or evidence, other than those in Annex 2 and that are typically required for the type of check.</w:t>
      </w:r>
    </w:p>
    <w:p w14:paraId="6DBFF73C"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in order to rule out double funding or other irregularities.</w:t>
      </w:r>
    </w:p>
    <w:p w14:paraId="787CB3D3"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120" w:name="_Toc117674758"/>
      <w:bookmarkStart w:id="121" w:name="_Toc117696689"/>
      <w:bookmarkStart w:id="122" w:name="_Toc122444442"/>
      <w:bookmarkStart w:id="123" w:name="_Toc218850033"/>
      <w:r w:rsidRPr="005B13D0">
        <w:rPr>
          <w:rFonts w:ascii="Times New Roman Bold" w:eastAsia="MS Gothic" w:hAnsi="Times New Roman Bold" w:cs="Times New Roman"/>
          <w:b/>
          <w:bCs/>
          <w:smallCaps/>
          <w:szCs w:val="26"/>
          <w:u w:val="single"/>
          <w:lang w:eastAsia="ar-SA"/>
        </w:rPr>
        <w:t>12.1 Desk check</w:t>
      </w:r>
      <w:bookmarkEnd w:id="120"/>
      <w:bookmarkEnd w:id="121"/>
      <w:bookmarkEnd w:id="122"/>
      <w:bookmarkEnd w:id="123"/>
    </w:p>
    <w:p w14:paraId="630BAFBE"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Desk check is an in-depth check of supporting documents at the National Agency’s premises that may be conducted at or after the final report stage. Upon request, the beneficiary must submit to the National Agency the supporting documents for all budget categories.</w:t>
      </w:r>
    </w:p>
    <w:p w14:paraId="5262033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124" w:name="_Toc117674759"/>
      <w:bookmarkStart w:id="125" w:name="_Toc117696690"/>
      <w:bookmarkStart w:id="126" w:name="_Toc122444443"/>
      <w:bookmarkStart w:id="127" w:name="_Toc218850034"/>
      <w:r w:rsidRPr="005B13D0">
        <w:rPr>
          <w:rFonts w:ascii="Times New Roman Bold" w:eastAsia="MS Gothic" w:hAnsi="Times New Roman Bold" w:cs="Times New Roman"/>
          <w:b/>
          <w:bCs/>
          <w:smallCaps/>
          <w:szCs w:val="26"/>
          <w:u w:val="single"/>
          <w:lang w:eastAsia="ar-SA"/>
        </w:rPr>
        <w:t>12.2 On-the-spot checks</w:t>
      </w:r>
      <w:bookmarkEnd w:id="124"/>
      <w:bookmarkEnd w:id="125"/>
      <w:bookmarkEnd w:id="126"/>
      <w:bookmarkEnd w:id="127"/>
    </w:p>
    <w:p w14:paraId="1522EE44" w14:textId="77777777" w:rsidR="005B13D0" w:rsidRPr="005B13D0" w:rsidRDefault="005B13D0" w:rsidP="005B13D0">
      <w:pPr>
        <w:suppressAutoHyphens/>
        <w:spacing w:line="276" w:lineRule="auto"/>
        <w:rPr>
          <w:rFonts w:eastAsia="SimSun" w:cs="Arial"/>
          <w:b/>
          <w:bCs/>
          <w:kern w:val="1"/>
          <w:szCs w:val="24"/>
          <w:shd w:val="clear" w:color="auto" w:fill="00FFFF"/>
          <w:lang w:eastAsia="ar-SA"/>
        </w:rPr>
      </w:pPr>
      <w:r w:rsidRPr="005B13D0">
        <w:rPr>
          <w:rFonts w:eastAsia="Calibri" w:cs="Arial"/>
          <w:szCs w:val="24"/>
          <w:lang w:eastAsia="ar-SA"/>
        </w:rPr>
        <w:t xml:space="preserve">On-the-spot checks are performed by the National Agency at the premises of the beneficiary or at any other premises relevant for the execution of the project. </w:t>
      </w:r>
      <w:r w:rsidRPr="005B13D0">
        <w:rPr>
          <w:rFonts w:eastAsia="SimSun" w:cs="Arial"/>
          <w:kern w:val="1"/>
          <w:szCs w:val="24"/>
          <w:lang w:eastAsia="ar-SA"/>
        </w:rPr>
        <w:t xml:space="preserve">During </w:t>
      </w:r>
      <w:r w:rsidRPr="005B13D0">
        <w:rPr>
          <w:rFonts w:eastAsia="Calibri" w:cs="Arial"/>
          <w:szCs w:val="24"/>
          <w:lang w:eastAsia="ar-SA"/>
        </w:rPr>
        <w:t>on-the-spot checks</w:t>
      </w:r>
      <w:r w:rsidRPr="005B13D0">
        <w:rPr>
          <w:rFonts w:eastAsia="SimSun" w:cs="Arial"/>
          <w:kern w:val="1"/>
          <w:szCs w:val="24"/>
          <w:lang w:eastAsia="ar-SA"/>
        </w:rPr>
        <w:t>, the beneficiary must make original supporting documentation for all budget categories available for review by the National Agency, and must enable the National Agency access to the recording of project expenses in the beneficiary’s accounts.</w:t>
      </w:r>
    </w:p>
    <w:p w14:paraId="781B5588"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On-the-spot checks can take the following forms:</w:t>
      </w:r>
    </w:p>
    <w:p w14:paraId="4BAD3067" w14:textId="289A02E3" w:rsidR="005B13D0" w:rsidRPr="005B13D0" w:rsidRDefault="005B13D0" w:rsidP="005B13D0">
      <w:pPr>
        <w:numPr>
          <w:ilvl w:val="0"/>
          <w:numId w:val="73"/>
        </w:numPr>
        <w:suppressAutoHyphens/>
        <w:spacing w:line="276" w:lineRule="auto"/>
        <w:rPr>
          <w:rFonts w:eastAsia="Calibri" w:cs="Times New Roman"/>
          <w:lang w:eastAsia="ar-SA"/>
        </w:rPr>
      </w:pPr>
      <w:r w:rsidRPr="005B13D0">
        <w:rPr>
          <w:rFonts w:eastAsia="SimSun" w:cs="Times New Roman"/>
          <w:b/>
          <w:bCs/>
          <w:kern w:val="1"/>
          <w:lang w:eastAsia="ar-SA"/>
        </w:rPr>
        <w:t>On-the-spot check during project implementation</w:t>
      </w:r>
      <w:r w:rsidRPr="005B13D0">
        <w:rPr>
          <w:rFonts w:eastAsia="Calibri" w:cs="Times New Roman"/>
          <w:lang w:eastAsia="ar-SA"/>
        </w:rPr>
        <w:t>: this check is undertaken during the implementation of the project in order for</w:t>
      </w:r>
      <w:r w:rsidRPr="005B13D0">
        <w:rPr>
          <w:rFonts w:eastAsia="SimSun" w:cs="Times New Roman"/>
          <w:kern w:val="1"/>
          <w:lang w:eastAsia="ar-SA"/>
        </w:rPr>
        <w:t xml:space="preserve"> the National Agency to directly verify the reality and eligibility of all project activities and participants and to establish compliance with the commitments undertaken as a result of the inter-institutional agreement(s).</w:t>
      </w:r>
    </w:p>
    <w:p w14:paraId="4E26ABC5" w14:textId="77777777" w:rsidR="005B13D0" w:rsidRPr="005B13D0" w:rsidRDefault="005B13D0" w:rsidP="005B13D0">
      <w:pPr>
        <w:numPr>
          <w:ilvl w:val="0"/>
          <w:numId w:val="73"/>
        </w:numPr>
        <w:suppressAutoHyphens/>
        <w:spacing w:line="276" w:lineRule="auto"/>
        <w:rPr>
          <w:rFonts w:eastAsia="Calibri" w:cs="Times New Roman"/>
          <w:szCs w:val="24"/>
          <w:lang w:eastAsia="ar-SA"/>
        </w:rPr>
      </w:pPr>
      <w:r w:rsidRPr="005B13D0">
        <w:rPr>
          <w:rFonts w:eastAsia="SimSun" w:cs="Times New Roman"/>
          <w:b/>
          <w:bCs/>
          <w:kern w:val="1"/>
          <w:szCs w:val="24"/>
          <w:lang w:eastAsia="ar-SA"/>
        </w:rPr>
        <w:t>On-the-spot check after completion of the project</w:t>
      </w:r>
      <w:r w:rsidRPr="005B13D0">
        <w:rPr>
          <w:rFonts w:eastAsia="Calibri" w:cs="Times New Roman"/>
          <w:szCs w:val="24"/>
          <w:lang w:eastAsia="ar-SA"/>
        </w:rPr>
        <w:t>: this check is undertaken after the end of the project and usually after the verification of the final report.</w:t>
      </w:r>
    </w:p>
    <w:p w14:paraId="3C9881ED"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b/>
          <w:bCs/>
          <w:smallCaps/>
          <w:szCs w:val="26"/>
          <w:u w:val="single"/>
          <w:lang w:eastAsia="ar-SA"/>
        </w:rPr>
      </w:pPr>
      <w:bookmarkStart w:id="128" w:name="_Toc117674760"/>
      <w:bookmarkStart w:id="129" w:name="_Toc117696691"/>
      <w:bookmarkStart w:id="130" w:name="_Toc122444444"/>
      <w:bookmarkStart w:id="131" w:name="_Toc218850035"/>
      <w:r w:rsidRPr="005B13D0">
        <w:rPr>
          <w:rFonts w:ascii="Times New Roman Bold" w:eastAsia="MS Gothic" w:hAnsi="Times New Roman Bold" w:cs="Times New Roman"/>
          <w:b/>
          <w:bCs/>
          <w:smallCaps/>
          <w:szCs w:val="26"/>
          <w:u w:val="single"/>
          <w:lang w:eastAsia="ar-SA"/>
        </w:rPr>
        <w:t>12.3 Systems check</w:t>
      </w:r>
      <w:bookmarkEnd w:id="128"/>
      <w:bookmarkEnd w:id="129"/>
      <w:bookmarkEnd w:id="130"/>
      <w:bookmarkEnd w:id="131"/>
    </w:p>
    <w:p w14:paraId="41BD4760" w14:textId="77777777" w:rsidR="005B13D0" w:rsidRPr="005B13D0" w:rsidRDefault="005B13D0" w:rsidP="005B13D0">
      <w:pPr>
        <w:spacing w:line="276" w:lineRule="auto"/>
        <w:rPr>
          <w:rFonts w:eastAsia="Calibri" w:cs="Times New Roman"/>
          <w:szCs w:val="24"/>
        </w:rPr>
      </w:pPr>
      <w:r w:rsidRPr="005B13D0">
        <w:rPr>
          <w:rFonts w:eastAsia="SimSun" w:cs="Times New Roman"/>
          <w:kern w:val="1"/>
          <w:szCs w:val="24"/>
          <w:lang w:eastAsia="ar-SA"/>
        </w:rPr>
        <w:t xml:space="preserve">The systems check is performed to establish the beneficiary's system for making its regular grant claims in the context of the Programme as well as its compliance with the commitments undertaken as a result of their accreditation. The systems check is performed to establish the </w:t>
      </w:r>
      <w:r w:rsidRPr="005B13D0">
        <w:rPr>
          <w:rFonts w:eastAsia="SimSun" w:cs="Times New Roman"/>
          <w:kern w:val="1"/>
          <w:szCs w:val="24"/>
          <w:lang w:eastAsia="ar-SA"/>
        </w:rPr>
        <w:lastRenderedPageBreak/>
        <w:t xml:space="preserve">beneficiary's compliance with the implementation standards committed to in the framework of the Erasmus+ Programme. </w:t>
      </w:r>
    </w:p>
    <w:p w14:paraId="022DFD60" w14:textId="77777777" w:rsidR="00E84397" w:rsidRDefault="00E84397"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132" w:name="_Toc117591139"/>
      <w:bookmarkStart w:id="133" w:name="_Toc117674761"/>
      <w:bookmarkStart w:id="134" w:name="_Toc117696692"/>
      <w:bookmarkStart w:id="135" w:name="_Toc122444445"/>
      <w:bookmarkStart w:id="136" w:name="_Toc218850036"/>
    </w:p>
    <w:p w14:paraId="15680565" w14:textId="376D965B"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r w:rsidRPr="005B13D0">
        <w:rPr>
          <w:rFonts w:ascii="Times New Roman Bold" w:eastAsia="MS Gothic" w:hAnsi="Times New Roman Bold" w:cs="Times New Roman"/>
          <w:b/>
          <w:bCs/>
          <w:caps/>
          <w:szCs w:val="28"/>
          <w:u w:val="single"/>
        </w:rPr>
        <w:t>13. Grant reduction (Article 28)</w:t>
      </w:r>
      <w:bookmarkEnd w:id="132"/>
      <w:bookmarkEnd w:id="133"/>
      <w:bookmarkEnd w:id="134"/>
      <w:bookmarkEnd w:id="135"/>
      <w:bookmarkEnd w:id="136"/>
      <w:r w:rsidRPr="005B13D0">
        <w:rPr>
          <w:rFonts w:ascii="Times New Roman Bold" w:eastAsia="MS Gothic" w:hAnsi="Times New Roman Bold" w:cs="Times New Roman"/>
          <w:b/>
          <w:bCs/>
          <w:caps/>
          <w:szCs w:val="28"/>
          <w:u w:val="single"/>
        </w:rPr>
        <w:t xml:space="preserve"> </w:t>
      </w:r>
    </w:p>
    <w:p w14:paraId="52A3AD29"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If the action was not implemented as described in Annex 1 (implementation criteria) and/or in accordance with the obligations set out in the Grant Agreement (obligations criteria), the eligible grant can be reduced as specified in Article 22. Grant reductions can be applied cumulatively on different grounds and in addition to cost and contributions rejections under Article 27 (if any).</w:t>
      </w:r>
    </w:p>
    <w:p w14:paraId="6C36E3F2"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b/>
          <w:bCs/>
          <w:szCs w:val="24"/>
          <w:lang w:eastAsia="ar-SA"/>
        </w:rPr>
        <w:t>Implementation criteria reduction</w:t>
      </w:r>
      <w:r w:rsidRPr="005B13D0">
        <w:rPr>
          <w:rFonts w:eastAsia="Calibri" w:cs="Times New Roman"/>
          <w:szCs w:val="24"/>
          <w:lang w:eastAsia="ar-SA"/>
        </w:rPr>
        <w:t xml:space="preserve">: Poor, partial or late implementation of the project may be established by the National Agency based on the final report submitted by the beneficiary, or any other relevant source, including participant reports, </w:t>
      </w:r>
      <w:r w:rsidRPr="005B13D0">
        <w:rPr>
          <w:rFonts w:eastAsia="Calibri" w:cs="Times New Roman"/>
          <w:lang w:eastAsia="ar-SA"/>
        </w:rPr>
        <w:t>monitoring visits, accreditation reports, desk checks or on-the-spot checks undertaken by the National Agency.</w:t>
      </w:r>
    </w:p>
    <w:p w14:paraId="10D3A3E4" w14:textId="5ECF8D5B" w:rsidR="005B13D0" w:rsidRPr="005B13D0" w:rsidRDefault="005B13D0" w:rsidP="005B13D0">
      <w:pPr>
        <w:suppressAutoHyphens/>
        <w:spacing w:line="276" w:lineRule="auto"/>
        <w:rPr>
          <w:rFonts w:eastAsia="Calibri" w:cs="Times New Roman"/>
          <w:lang w:eastAsia="ar-SA"/>
        </w:rPr>
      </w:pPr>
      <w:bookmarkStart w:id="137" w:name="_Hlk153884034"/>
      <w:r w:rsidRPr="005B13D0">
        <w:rPr>
          <w:rFonts w:eastAsia="Calibri" w:cs="Times New Roman"/>
          <w:lang w:eastAsia="ar-SA"/>
        </w:rPr>
        <w:t>In line with the scoring procedure of the final report to be found in Article 10.4 of Annex 5, the National Agency may reduce the eligible grant as follows:</w:t>
      </w:r>
    </w:p>
    <w:p w14:paraId="224327BD"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10% if the final report scores at least 50 points and below 60 points;</w:t>
      </w:r>
    </w:p>
    <w:p w14:paraId="05584333"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25% if the final report scores at least 40 points and below 50 points;</w:t>
      </w:r>
    </w:p>
    <w:p w14:paraId="26169E39"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50% if the final report scores at least 25 points and below 40 points;</w:t>
      </w:r>
    </w:p>
    <w:p w14:paraId="4CC0A801"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75% if the final report scores at least 15 points and below 25 points;</w:t>
      </w:r>
    </w:p>
    <w:p w14:paraId="15FA0A27"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100% if the final report scores below 15 points.</w:t>
      </w:r>
    </w:p>
    <w:bookmarkEnd w:id="137"/>
    <w:p w14:paraId="052622DD" w14:textId="77777777" w:rsidR="005B13D0" w:rsidRDefault="005B13D0" w:rsidP="005B13D0">
      <w:pPr>
        <w:suppressAutoHyphens/>
        <w:spacing w:line="276" w:lineRule="auto"/>
        <w:rPr>
          <w:rFonts w:eastAsia="Calibri" w:cs="Times New Roman"/>
          <w:lang w:eastAsia="ar-SA"/>
        </w:rPr>
      </w:pPr>
      <w:r w:rsidRPr="005B13D0">
        <w:rPr>
          <w:rFonts w:eastAsia="Calibri" w:cs="Times New Roman"/>
          <w:b/>
          <w:bCs/>
          <w:lang w:eastAsia="ar-SA"/>
        </w:rPr>
        <w:t>Obligations criteria reduction</w:t>
      </w:r>
      <w:r w:rsidRPr="005B13D0">
        <w:rPr>
          <w:rFonts w:eastAsia="Calibri" w:cs="Times New Roman"/>
          <w:lang w:eastAsia="ar-SA"/>
        </w:rPr>
        <w:t>: In addition to the reduction for improper implementation of the project as evidenced by the final report score, the eligible grant may also be reduced due to irregularity, fraud or breach of any other obligations as stipulated in Article 28.1. In particular, the grant reduction(s) can be applied for breach of any obligations under Articles 11, 12, 13, 14, 15, 16, 17, 18, 19, 20, 22, 25 and 32 of this grant agreement.</w:t>
      </w:r>
    </w:p>
    <w:p w14:paraId="5295FB1E" w14:textId="77777777" w:rsidR="004673A0" w:rsidRPr="005B13D0" w:rsidDel="00735442" w:rsidRDefault="004673A0" w:rsidP="005B13D0">
      <w:pPr>
        <w:suppressAutoHyphens/>
        <w:spacing w:line="276" w:lineRule="auto"/>
        <w:rPr>
          <w:rFonts w:eastAsia="Calibri" w:cs="Times New Roman"/>
          <w:lang w:eastAsia="ar-SA"/>
        </w:rPr>
      </w:pPr>
    </w:p>
    <w:p w14:paraId="231429E4"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138" w:name="_Toc117591140"/>
      <w:bookmarkStart w:id="139" w:name="_Toc117674762"/>
      <w:bookmarkStart w:id="140" w:name="_Toc117696693"/>
      <w:bookmarkStart w:id="141" w:name="_Toc122444446"/>
      <w:bookmarkStart w:id="142" w:name="_Toc218850037"/>
      <w:r w:rsidRPr="005B13D0">
        <w:rPr>
          <w:rFonts w:ascii="Times New Roman Bold" w:eastAsia="MS Gothic" w:hAnsi="Times New Roman Bold" w:cs="Times New Roman"/>
          <w:b/>
          <w:bCs/>
          <w:caps/>
          <w:szCs w:val="28"/>
          <w:u w:val="single"/>
        </w:rPr>
        <w:t>14. Communication between the parties (Article 36)</w:t>
      </w:r>
      <w:bookmarkEnd w:id="138"/>
      <w:bookmarkEnd w:id="139"/>
      <w:bookmarkEnd w:id="140"/>
      <w:bookmarkEnd w:id="141"/>
      <w:bookmarkEnd w:id="142"/>
    </w:p>
    <w:p w14:paraId="5797CCBE" w14:textId="77777777" w:rsidR="005B13D0" w:rsidRPr="005B13D0" w:rsidRDefault="005B13D0" w:rsidP="005B13D0">
      <w:pPr>
        <w:adjustRightInd w:val="0"/>
        <w:rPr>
          <w:rFonts w:eastAsia="Calibri" w:cs="Arial"/>
          <w:color w:val="000000"/>
        </w:rPr>
      </w:pPr>
      <w:r w:rsidRPr="005B13D0">
        <w:rPr>
          <w:rFonts w:eastAsia="Calibri" w:cs="Arial"/>
          <w:color w:val="000000"/>
        </w:rPr>
        <w:t>All communication under the Agreement must:</w:t>
      </w:r>
    </w:p>
    <w:p w14:paraId="759688B6"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be made in writing (electronically or on paper)</w:t>
      </w:r>
    </w:p>
    <w:p w14:paraId="2B079957"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clearly identify the Agreement (project number and title, if any) and</w:t>
      </w:r>
    </w:p>
    <w:p w14:paraId="5D9275BF"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use the forms and templates provided (if applicable).</w:t>
      </w:r>
    </w:p>
    <w:p w14:paraId="56BC03BE" w14:textId="77777777" w:rsidR="005B13D0" w:rsidRPr="005B13D0" w:rsidRDefault="005B13D0" w:rsidP="005B13D0">
      <w:pPr>
        <w:adjustRightInd w:val="0"/>
        <w:rPr>
          <w:rFonts w:eastAsia="Calibri" w:cs="Arial"/>
          <w:color w:val="000000"/>
        </w:rPr>
      </w:pPr>
      <w:r w:rsidRPr="005B13D0">
        <w:rPr>
          <w:rFonts w:eastAsia="Calibri" w:cs="Arial"/>
          <w:color w:val="000000"/>
        </w:rPr>
        <w:lastRenderedPageBreak/>
        <w:t>Email shall be the preferred communication method between the parties, unless a digital method is provided in the Erasmus+ reporting and management tool for particular aspects of the grant agreement.</w:t>
      </w:r>
    </w:p>
    <w:p w14:paraId="05E86452"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Reporting under Article 21 must be done through the Erasmus+ reporting and management tool described in Article 10 of this Annex. </w:t>
      </w:r>
    </w:p>
    <w:p w14:paraId="3F5D5E87"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A </w:t>
      </w:r>
      <w:r w:rsidRPr="005B13D0">
        <w:rPr>
          <w:rFonts w:eastAsia="Calibri" w:cs="Arial"/>
          <w:b/>
          <w:bCs/>
          <w:color w:val="000000"/>
        </w:rPr>
        <w:t>formal notification</w:t>
      </w:r>
      <w:r w:rsidRPr="005B13D0">
        <w:rPr>
          <w:rFonts w:eastAsia="Calibri" w:cs="Arial"/>
          <w:color w:val="000000"/>
        </w:rPr>
        <w:t xml:space="preserve"> is a written notification sent by registered post with proof of delivery to the postal addresses indicated in the Preamble, or sent as a regular email to the email addresses indicated in the Preamble, or sent using a digital method provided for that purpose in the Erasmus+ reporting and management tool. Any request for amendment must be sent as a formal notification.</w:t>
      </w:r>
    </w:p>
    <w:p w14:paraId="7C00387B" w14:textId="77777777" w:rsidR="005B13D0" w:rsidRPr="005B13D0" w:rsidRDefault="005B13D0" w:rsidP="005B13D0">
      <w:pPr>
        <w:adjustRightInd w:val="0"/>
        <w:rPr>
          <w:rFonts w:eastAsia="Calibri" w:cs="Arial"/>
        </w:rPr>
      </w:pPr>
      <w:r w:rsidRPr="005B13D0">
        <w:rPr>
          <w:rFonts w:eastAsia="Calibri" w:cs="Arial"/>
        </w:rPr>
        <w:t xml:space="preserve">Communications are considered to have been </w:t>
      </w:r>
      <w:r w:rsidRPr="005B13D0">
        <w:rPr>
          <w:rFonts w:eastAsia="Calibri" w:cs="Arial"/>
          <w:b/>
          <w:bCs/>
        </w:rPr>
        <w:t xml:space="preserve">made </w:t>
      </w:r>
      <w:r w:rsidRPr="005B13D0">
        <w:rPr>
          <w:rFonts w:eastAsia="Calibri" w:cs="Arial"/>
        </w:rPr>
        <w:t xml:space="preserve">by the sending party on the date and time they are sent. Communications are considered as </w:t>
      </w:r>
      <w:r w:rsidRPr="005B13D0">
        <w:rPr>
          <w:rFonts w:eastAsia="Calibri" w:cs="Arial"/>
          <w:b/>
          <w:bCs/>
        </w:rPr>
        <w:t>notified</w:t>
      </w:r>
      <w:r w:rsidRPr="005B13D0">
        <w:rPr>
          <w:rFonts w:eastAsia="Calibri" w:cs="Arial"/>
        </w:rPr>
        <w:t xml:space="preserve"> to the other party as follows:</w:t>
      </w:r>
    </w:p>
    <w:p w14:paraId="2F83C5EA" w14:textId="77777777" w:rsidR="005B13D0" w:rsidRPr="005B13D0" w:rsidRDefault="005B13D0" w:rsidP="005B13D0">
      <w:pPr>
        <w:numPr>
          <w:ilvl w:val="0"/>
          <w:numId w:val="80"/>
        </w:numPr>
        <w:rPr>
          <w:rFonts w:eastAsia="Times New Roman" w:cs="Times New Roman"/>
        </w:rPr>
      </w:pPr>
      <w:r w:rsidRPr="005B13D0">
        <w:rPr>
          <w:rFonts w:eastAsia="Times New Roman" w:cs="Times New Roman"/>
          <w:b/>
          <w:bCs/>
        </w:rPr>
        <w:t xml:space="preserve">Formal notifications sent electronically: </w:t>
      </w:r>
      <w:r w:rsidRPr="005B13D0">
        <w:rPr>
          <w:rFonts w:eastAsia="Times New Roman" w:cs="Times New Roman"/>
        </w:rPr>
        <w:t xml:space="preserve">If a party has been notified electronically via regular email to the email address indicated in the Preamble, it will be presumed that it has been informed of the content of the exchange on the date and time the email was sent. It is the responsibility of both parties to check their inbox regularly for new messages, to inform each other of any changes to email addresses in the Preamble, and ensure that the other party’s communications are not blocked or filtered out at the receiving side. Any claims of not having received the notification due to email being accidentally filtered out (e.g. by security or anti-spam filters) will not be accepted and the communication will be considered as duly notified on the date and time it was sent.  </w:t>
      </w:r>
    </w:p>
    <w:p w14:paraId="6D4C65F7" w14:textId="77777777" w:rsidR="005B13D0" w:rsidRPr="005B13D0" w:rsidRDefault="005B13D0" w:rsidP="005B13D0">
      <w:pPr>
        <w:numPr>
          <w:ilvl w:val="0"/>
          <w:numId w:val="80"/>
        </w:numPr>
        <w:adjustRightInd w:val="0"/>
        <w:rPr>
          <w:rFonts w:eastAsia="Times New Roman" w:cs="Times New Roman"/>
          <w:szCs w:val="24"/>
        </w:rPr>
      </w:pPr>
      <w:r w:rsidRPr="005B13D0">
        <w:rPr>
          <w:rFonts w:eastAsia="Times New Roman" w:cs="Times New Roman"/>
          <w:b/>
          <w:bCs/>
        </w:rPr>
        <w:t>Formal notifications sent by post</w:t>
      </w:r>
      <w:r w:rsidRPr="005B13D0">
        <w:rPr>
          <w:rFonts w:eastAsia="Times New Roman" w:cs="Times New Roman"/>
        </w:rPr>
        <w:t xml:space="preserve">: Formal notifications on paper sent by registered post with proof of delivery are considered to have been notified to the other party on either </w:t>
      </w:r>
      <w:r w:rsidRPr="005B13D0">
        <w:rPr>
          <w:rFonts w:eastAsia="Times New Roman" w:cs="Times New Roman"/>
          <w:lang w:eastAsia="en-GB"/>
        </w:rPr>
        <w:t>the delivery date registered by the postal service or the deadline for collection at the post office.</w:t>
      </w:r>
    </w:p>
    <w:p w14:paraId="26F0AB45" w14:textId="77777777" w:rsidR="005B13D0" w:rsidRPr="005B13D0" w:rsidRDefault="005B13D0" w:rsidP="005B13D0">
      <w:pPr>
        <w:autoSpaceDE w:val="0"/>
        <w:autoSpaceDN w:val="0"/>
        <w:adjustRightInd w:val="0"/>
        <w:rPr>
          <w:rFonts w:eastAsia="Calibri" w:cs="Arial"/>
          <w:color w:val="000000"/>
        </w:rPr>
      </w:pPr>
      <w:r w:rsidRPr="005B13D0">
        <w:rPr>
          <w:rFonts w:eastAsia="Calibri" w:cs="Arial"/>
          <w:b/>
          <w:bCs/>
          <w:color w:val="000000"/>
        </w:rPr>
        <w:t>Amendments</w:t>
      </w:r>
      <w:r w:rsidRPr="005B13D0">
        <w:rPr>
          <w:rFonts w:eastAsia="Calibri" w:cs="Arial"/>
          <w:color w:val="000000"/>
        </w:rPr>
        <w:t xml:space="preserve"> </w:t>
      </w:r>
      <w:r w:rsidRPr="005B13D0">
        <w:rPr>
          <w:rFonts w:eastAsia="Calibri" w:cs="Arial"/>
          <w:color w:val="000000"/>
          <w:lang w:eastAsia="en-GB"/>
        </w:rPr>
        <w:t>(Article 39) must be signed</w:t>
      </w:r>
      <w:r w:rsidRPr="005B13D0">
        <w:rPr>
          <w:rFonts w:eastAsia="Calibri" w:cs="Arial"/>
          <w:color w:val="000000"/>
        </w:rPr>
        <w:t xml:space="preserve"> by the parties with a handwritten signature, electronically with a qualified electronic signature (QES), or with another type of electronic signature recognised as equivalent to a handwritten signature under the applicable national law. Amendments must be</w:t>
      </w:r>
      <w:r w:rsidRPr="005B13D0">
        <w:rPr>
          <w:rFonts w:eastAsia="Calibri" w:cs="Arial"/>
          <w:color w:val="000000"/>
          <w:lang w:eastAsia="en-GB"/>
        </w:rPr>
        <w:t xml:space="preserve"> sent as a formal notification, </w:t>
      </w:r>
      <w:r w:rsidRPr="005B13D0">
        <w:rPr>
          <w:rFonts w:eastAsia="Calibri" w:cs="Arial"/>
          <w:color w:val="000000"/>
        </w:rPr>
        <w:t>unless a digital exchange method is provided for a particular amendment type in the Erasmus+ reporting and management tool (Beneficiary Module), in which case the instructions there should be followed.</w:t>
      </w:r>
    </w:p>
    <w:p w14:paraId="79E73753" w14:textId="77777777" w:rsidR="005B13D0" w:rsidRPr="005B13D0" w:rsidRDefault="005B13D0" w:rsidP="005B13D0">
      <w:pPr>
        <w:rPr>
          <w:rFonts w:eastAsia="Calibri" w:cs="Arial"/>
          <w:color w:val="000000"/>
        </w:rPr>
      </w:pPr>
      <w:r w:rsidRPr="005B13D0">
        <w:rPr>
          <w:rFonts w:eastAsia="Calibri" w:cs="Arial"/>
          <w:color w:val="000000"/>
        </w:rPr>
        <w:t xml:space="preserve">A </w:t>
      </w:r>
      <w:r w:rsidRPr="005B13D0">
        <w:rPr>
          <w:rFonts w:eastAsia="Calibri" w:cs="Arial"/>
          <w:b/>
          <w:bCs/>
          <w:color w:val="000000"/>
        </w:rPr>
        <w:t>simplified approval procedure</w:t>
      </w:r>
      <w:r w:rsidRPr="005B13D0">
        <w:rPr>
          <w:rFonts w:eastAsia="Calibri" w:cs="Arial"/>
          <w:color w:val="000000"/>
        </w:rPr>
        <w:t xml:space="preserve"> is a procedure where the beneficiary can ask for an ex-post approval by the granting authority to accept costs or contributions in the final report which have been incurred but were not planned in the estimated budget. For such simplified approval, it must declare the costs or contributions in question in the final report and justify them. Simplified approval is at the full discretion of the granting authority, and the beneficiary bears the risk that such costs or contributions might not be approved at final payment-stage. </w:t>
      </w:r>
    </w:p>
    <w:p w14:paraId="3642735F" w14:textId="77777777" w:rsidR="005B13D0" w:rsidRPr="005B13D0" w:rsidRDefault="005B13D0" w:rsidP="005B13D0">
      <w:pPr>
        <w:rPr>
          <w:rFonts w:eastAsia="Calibri" w:cs="Arial"/>
          <w:b/>
          <w:bCs/>
          <w:color w:val="000000"/>
        </w:rPr>
      </w:pPr>
      <w:r w:rsidRPr="005B13D0">
        <w:rPr>
          <w:rFonts w:eastAsia="Calibri" w:cs="Arial"/>
          <w:color w:val="000000"/>
        </w:rPr>
        <w:t>In case of doubt, the beneficiary should consult the National Agency on whether the Erasmus+ reporting and management tool, a formal notification, or a simplified approval procedure should be used.</w:t>
      </w:r>
    </w:p>
    <w:p w14:paraId="2E50E60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143" w:name="_Toc117591141"/>
      <w:bookmarkStart w:id="144" w:name="_Toc117674763"/>
      <w:bookmarkStart w:id="145" w:name="_Toc117696694"/>
      <w:bookmarkStart w:id="146" w:name="_Toc122444447"/>
      <w:bookmarkStart w:id="147" w:name="_Toc218850038"/>
      <w:r w:rsidRPr="005B13D0">
        <w:rPr>
          <w:rFonts w:ascii="Times New Roman Bold" w:eastAsia="MS Gothic" w:hAnsi="Times New Roman Bold" w:cs="Times New Roman"/>
          <w:b/>
          <w:bCs/>
          <w:caps/>
          <w:szCs w:val="28"/>
          <w:u w:val="single"/>
        </w:rPr>
        <w:lastRenderedPageBreak/>
        <w:t>15. Monitoring and evaluation of accreditations</w:t>
      </w:r>
      <w:bookmarkEnd w:id="143"/>
      <w:bookmarkEnd w:id="144"/>
      <w:bookmarkEnd w:id="145"/>
      <w:bookmarkEnd w:id="146"/>
      <w:bookmarkEnd w:id="147"/>
    </w:p>
    <w:p w14:paraId="7096085D" w14:textId="5B6EC5A2" w:rsidR="005B13D0" w:rsidRPr="005B13D0" w:rsidRDefault="005B13D0" w:rsidP="005B13D0">
      <w:pPr>
        <w:spacing w:line="276" w:lineRule="auto"/>
        <w:rPr>
          <w:rFonts w:eastAsia="Calibri" w:cs="Arial"/>
          <w:szCs w:val="24"/>
        </w:rPr>
      </w:pPr>
      <w:r w:rsidRPr="005B13D0">
        <w:rPr>
          <w:rFonts w:eastAsia="Calibri" w:cs="Arial"/>
          <w:szCs w:val="24"/>
        </w:rPr>
        <w:t>The National Agency and the Commission will monitor the correct implementation of the Erasmus Charter for Higher Education (ECHE) by the beneficiary and of the respect of the commitments defined in its inter-institutional agreements.</w:t>
      </w:r>
    </w:p>
    <w:p w14:paraId="46CBC5DB" w14:textId="43A0AF11" w:rsidR="005B13D0" w:rsidRDefault="005B13D0" w:rsidP="005B13D0">
      <w:pPr>
        <w:spacing w:line="276" w:lineRule="auto"/>
        <w:rPr>
          <w:rFonts w:eastAsia="Calibri" w:cs="Arial"/>
          <w:szCs w:val="24"/>
        </w:rPr>
      </w:pPr>
      <w:r w:rsidRPr="005B13D0">
        <w:rPr>
          <w:rFonts w:eastAsia="Calibri" w:cs="Arial"/>
          <w:szCs w:val="24"/>
        </w:rPr>
        <w:t>In case the monitoring reveals weaknesses, the beneficiary must establish and implement an action plan within the timeframe specified by the National Agency or the Commission. In the absence of adequate and timely remedial actions by the beneficiary, the National Agency may recommend to the Commission to suspend or withdraw the ECHE</w:t>
      </w:r>
      <w:r w:rsidRPr="005B13D0" w:rsidDel="006C06D9">
        <w:rPr>
          <w:rFonts w:eastAsia="Calibri" w:cs="Arial"/>
          <w:szCs w:val="24"/>
        </w:rPr>
        <w:t xml:space="preserve"> </w:t>
      </w:r>
      <w:r w:rsidRPr="005B13D0">
        <w:rPr>
          <w:rFonts w:eastAsia="Calibri" w:cs="Arial"/>
          <w:szCs w:val="24"/>
        </w:rPr>
        <w:t>in accordance with the provisions set in the Charter. As a consequence of suspension or withdrawal of ECHE, the grant agreement may have to be suspended or terminated, as the case may be.</w:t>
      </w:r>
    </w:p>
    <w:p w14:paraId="069E43AD" w14:textId="77777777" w:rsidR="004673A0" w:rsidRPr="005B13D0" w:rsidRDefault="004673A0" w:rsidP="005B13D0">
      <w:pPr>
        <w:spacing w:line="276" w:lineRule="auto"/>
        <w:rPr>
          <w:rFonts w:eastAsia="Calibri" w:cs="Arial"/>
          <w:szCs w:val="24"/>
        </w:rPr>
      </w:pPr>
    </w:p>
    <w:p w14:paraId="66072827"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148" w:name="_Toc117591142"/>
      <w:bookmarkStart w:id="149" w:name="_Toc117674764"/>
      <w:bookmarkStart w:id="150" w:name="_Toc117696695"/>
      <w:bookmarkStart w:id="151" w:name="_Toc122444448"/>
      <w:bookmarkStart w:id="152" w:name="_Toc218850039"/>
      <w:r w:rsidRPr="005B13D0">
        <w:rPr>
          <w:rFonts w:ascii="Times New Roman Bold" w:eastAsia="MS Gothic" w:hAnsi="Times New Roman Bold" w:cs="Times New Roman"/>
          <w:b/>
          <w:bCs/>
          <w:caps/>
          <w:szCs w:val="28"/>
          <w:u w:val="single"/>
        </w:rPr>
        <w:t>16. Online Language Support (OLS)</w:t>
      </w:r>
      <w:bookmarkEnd w:id="148"/>
      <w:bookmarkEnd w:id="149"/>
      <w:bookmarkEnd w:id="150"/>
      <w:bookmarkEnd w:id="151"/>
      <w:bookmarkEnd w:id="152"/>
      <w:r w:rsidRPr="005B13D0">
        <w:rPr>
          <w:rFonts w:ascii="Times New Roman Bold" w:eastAsia="MS Gothic" w:hAnsi="Times New Roman Bold" w:cs="Times New Roman"/>
          <w:b/>
          <w:bCs/>
          <w:caps/>
          <w:szCs w:val="28"/>
          <w:u w:val="single"/>
        </w:rPr>
        <w:t xml:space="preserve"> </w:t>
      </w:r>
    </w:p>
    <w:p w14:paraId="3B9C4E3D" w14:textId="77777777" w:rsidR="005B13D0" w:rsidRPr="005B13D0" w:rsidRDefault="005B13D0" w:rsidP="005B13D0">
      <w:pPr>
        <w:spacing w:line="276" w:lineRule="auto"/>
        <w:rPr>
          <w:rFonts w:eastAsia="Calibri" w:cs="Times New Roman"/>
          <w:lang w:eastAsia="ar-SA"/>
        </w:rPr>
      </w:pPr>
      <w:r w:rsidRPr="005B13D0">
        <w:rPr>
          <w:rFonts w:eastAsia="Calibri" w:cs="Arial"/>
          <w:lang w:eastAsia="ar-SA"/>
        </w:rPr>
        <w:t xml:space="preserve">The beneficiary must </w:t>
      </w:r>
      <w:r w:rsidRPr="005B13D0">
        <w:rPr>
          <w:rFonts w:eastAsia="Calibri" w:cs="Times New Roman"/>
          <w:lang w:eastAsia="ar-SA"/>
        </w:rPr>
        <w:t>promote, monitor and support the use of language courses in the Online Language Support (OLS) platform.</w:t>
      </w:r>
    </w:p>
    <w:p w14:paraId="0E4C4D0D" w14:textId="77777777" w:rsidR="00BA492B" w:rsidRDefault="00BA492B" w:rsidP="005B13D0">
      <w:pPr>
        <w:keepNext/>
        <w:keepLines/>
        <w:spacing w:before="200"/>
        <w:ind w:left="1797" w:hanging="1797"/>
        <w:outlineLvl w:val="0"/>
        <w:rPr>
          <w:rFonts w:eastAsia="Calibri" w:cs="Arial"/>
          <w:i/>
          <w:color w:val="4AA55B"/>
          <w:szCs w:val="24"/>
          <w:lang w:val="en-US"/>
        </w:rPr>
      </w:pPr>
      <w:bookmarkStart w:id="153" w:name="_Toc117591143"/>
      <w:bookmarkStart w:id="154" w:name="_Toc117674765"/>
      <w:bookmarkStart w:id="155" w:name="_Toc117696696"/>
      <w:bookmarkStart w:id="156" w:name="_Toc122444449"/>
      <w:bookmarkStart w:id="157" w:name="_Toc218850040"/>
    </w:p>
    <w:p w14:paraId="1A1340ED" w14:textId="2FB00213" w:rsidR="005B13D0" w:rsidRPr="005B13D0" w:rsidRDefault="005B13D0" w:rsidP="005B13D0">
      <w:pPr>
        <w:keepNext/>
        <w:keepLines/>
        <w:spacing w:before="200"/>
        <w:ind w:left="1797" w:hanging="1797"/>
        <w:outlineLvl w:val="0"/>
        <w:rPr>
          <w:rFonts w:ascii="Times New Roman Bold" w:eastAsia="MS Gothic" w:hAnsi="Times New Roman Bold" w:cs="Times New Roman"/>
          <w:b/>
          <w:bCs/>
          <w:caps/>
          <w:szCs w:val="28"/>
          <w:u w:val="single"/>
        </w:rPr>
      </w:pPr>
      <w:r w:rsidRPr="005B13D0">
        <w:rPr>
          <w:rFonts w:ascii="Times New Roman Bold" w:eastAsia="MS Gothic" w:hAnsi="Times New Roman Bold" w:cs="Times New Roman"/>
          <w:b/>
          <w:bCs/>
          <w:caps/>
          <w:szCs w:val="28"/>
          <w:u w:val="single"/>
        </w:rPr>
        <w:t>17. Protection and safety of participants</w:t>
      </w:r>
      <w:bookmarkEnd w:id="153"/>
      <w:bookmarkEnd w:id="154"/>
      <w:bookmarkEnd w:id="155"/>
      <w:bookmarkEnd w:id="156"/>
      <w:bookmarkEnd w:id="157"/>
      <w:r w:rsidRPr="005B13D0">
        <w:rPr>
          <w:rFonts w:ascii="Times New Roman Bold" w:eastAsia="MS Gothic" w:hAnsi="Times New Roman Bold" w:cs="Times New Roman"/>
          <w:b/>
          <w:bCs/>
          <w:caps/>
          <w:szCs w:val="28"/>
          <w:u w:val="single"/>
        </w:rPr>
        <w:t xml:space="preserve"> </w:t>
      </w:r>
    </w:p>
    <w:p w14:paraId="6FAE847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The beneficiary will have in place effective procedures and arrangements to provide for the safety and protection of the participants in their project.</w:t>
      </w:r>
    </w:p>
    <w:p w14:paraId="151C7DD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 xml:space="preserve">The beneficiary must ensure that insurance coverage is provided to participants involved in mobility activities. </w:t>
      </w:r>
    </w:p>
    <w:p w14:paraId="01141BA4" w14:textId="5F75AABA" w:rsidR="005B13D0" w:rsidRDefault="005B13D0" w:rsidP="005B13D0">
      <w:pPr>
        <w:spacing w:line="276" w:lineRule="auto"/>
        <w:rPr>
          <w:rFonts w:eastAsia="Calibri" w:cs="Arial"/>
          <w:i/>
          <w:color w:val="4AA55B"/>
          <w:szCs w:val="24"/>
          <w:lang w:val="en-US"/>
        </w:rPr>
      </w:pPr>
      <w:r w:rsidRPr="005B13D0">
        <w:rPr>
          <w:rFonts w:eastAsia="Times New Roman" w:cs="Arial"/>
        </w:rPr>
        <w:t>The beneficiary must sign prior to departure grant agreements with participants stating, among others, the details of the activities (start and end date), financial support and payment and insurance arrangements.</w:t>
      </w:r>
    </w:p>
    <w:p w14:paraId="381EFA48" w14:textId="77777777" w:rsidR="005B13D0" w:rsidRPr="005B13D0" w:rsidRDefault="005B13D0" w:rsidP="005B13D0">
      <w:pPr>
        <w:spacing w:line="276" w:lineRule="auto"/>
        <w:rPr>
          <w:rFonts w:eastAsia="Calibri" w:cs="Arial"/>
          <w:szCs w:val="24"/>
        </w:rPr>
      </w:pPr>
    </w:p>
    <w:p w14:paraId="17746810" w14:textId="6B7C1F14" w:rsidR="005B13D0" w:rsidRPr="005B13D0" w:rsidRDefault="00BA492B" w:rsidP="005B13D0">
      <w:pPr>
        <w:keepNext/>
        <w:keepLines/>
        <w:spacing w:before="200"/>
        <w:ind w:left="1797" w:hanging="1797"/>
        <w:outlineLvl w:val="0"/>
        <w:rPr>
          <w:rFonts w:ascii="Times New Roman Bold" w:eastAsia="MS Gothic" w:hAnsi="Times New Roman Bold" w:cs="Times New Roman"/>
          <w:b/>
          <w:bCs/>
          <w:caps/>
          <w:szCs w:val="28"/>
          <w:u w:val="single"/>
        </w:rPr>
      </w:pPr>
      <w:bookmarkStart w:id="158" w:name="_Toc117591145"/>
      <w:bookmarkStart w:id="159" w:name="_Toc117674767"/>
      <w:bookmarkStart w:id="160" w:name="_Toc117696698"/>
      <w:bookmarkStart w:id="161" w:name="_Toc122444451"/>
      <w:bookmarkStart w:id="162" w:name="_Toc218850043"/>
      <w:r>
        <w:rPr>
          <w:rFonts w:ascii="Times New Roman Bold" w:eastAsia="MS Gothic" w:hAnsi="Times New Roman Bold" w:cs="Times New Roman"/>
          <w:b/>
          <w:bCs/>
          <w:caps/>
          <w:szCs w:val="28"/>
          <w:u w:val="single"/>
        </w:rPr>
        <w:t>1</w:t>
      </w:r>
      <w:r w:rsidR="002D236D">
        <w:rPr>
          <w:rFonts w:ascii="Times New Roman Bold" w:eastAsia="MS Gothic" w:hAnsi="Times New Roman Bold" w:cs="Times New Roman"/>
          <w:b/>
          <w:bCs/>
          <w:caps/>
          <w:szCs w:val="28"/>
          <w:u w:val="single"/>
        </w:rPr>
        <w:t>8</w:t>
      </w:r>
      <w:r w:rsidR="005B13D0" w:rsidRPr="005B13D0">
        <w:rPr>
          <w:rFonts w:ascii="Times New Roman Bold" w:eastAsia="MS Gothic" w:hAnsi="Times New Roman Bold" w:cs="Times New Roman"/>
          <w:b/>
          <w:bCs/>
          <w:caps/>
          <w:szCs w:val="28"/>
          <w:u w:val="single"/>
        </w:rPr>
        <w:t>. Any additional provisions required by the national law</w:t>
      </w:r>
      <w:bookmarkEnd w:id="158"/>
      <w:bookmarkEnd w:id="159"/>
      <w:bookmarkEnd w:id="160"/>
      <w:bookmarkEnd w:id="161"/>
      <w:bookmarkEnd w:id="162"/>
      <w:r w:rsidR="005B13D0" w:rsidRPr="005B13D0">
        <w:rPr>
          <w:rFonts w:ascii="Times New Roman Bold" w:eastAsia="MS Gothic" w:hAnsi="Times New Roman Bold" w:cs="Times New Roman"/>
          <w:b/>
          <w:bCs/>
          <w:caps/>
          <w:szCs w:val="28"/>
          <w:u w:val="single"/>
        </w:rPr>
        <w:t xml:space="preserve"> </w:t>
      </w:r>
    </w:p>
    <w:p w14:paraId="29D18792" w14:textId="4A4422DB" w:rsidR="001034D3" w:rsidRPr="005B13D0" w:rsidRDefault="00BA492B" w:rsidP="005B13D0">
      <w:r>
        <w:rPr>
          <w:rFonts w:eastAsia="Times New Roman" w:cs="Arial"/>
        </w:rPr>
        <w:t>Not applicable</w:t>
      </w:r>
    </w:p>
    <w:sectPr w:rsidR="001034D3" w:rsidRPr="005B13D0" w:rsidSect="005B13D0">
      <w:headerReference w:type="even" r:id="rId9"/>
      <w:headerReference w:type="default" r:id="rId10"/>
      <w:footerReference w:type="even" r:id="rId11"/>
      <w:footerReference w:type="default" r:id="rId12"/>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BC91" w14:textId="77777777" w:rsidR="002666E1" w:rsidRDefault="002666E1" w:rsidP="005B13D0">
      <w:pPr>
        <w:spacing w:after="0"/>
      </w:pPr>
      <w:r>
        <w:separator/>
      </w:r>
    </w:p>
  </w:endnote>
  <w:endnote w:type="continuationSeparator" w:id="0">
    <w:p w14:paraId="20B033AE" w14:textId="77777777" w:rsidR="002666E1" w:rsidRDefault="002666E1" w:rsidP="005B1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106D" w14:textId="77777777" w:rsidR="00005690" w:rsidRDefault="000056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6215AE4D" w14:textId="77777777" w:rsidR="00005690" w:rsidRDefault="000056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C9C22" w14:textId="77777777" w:rsidR="00005690" w:rsidRDefault="0000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44A0" w14:textId="77777777" w:rsidR="002666E1" w:rsidRDefault="002666E1" w:rsidP="005B13D0">
      <w:pPr>
        <w:spacing w:after="0"/>
      </w:pPr>
      <w:r>
        <w:separator/>
      </w:r>
    </w:p>
  </w:footnote>
  <w:footnote w:type="continuationSeparator" w:id="0">
    <w:p w14:paraId="62E1C87E" w14:textId="77777777" w:rsidR="002666E1" w:rsidRDefault="002666E1" w:rsidP="005B13D0">
      <w:pPr>
        <w:spacing w:after="0"/>
      </w:pPr>
      <w:r>
        <w:continuationSeparator/>
      </w:r>
    </w:p>
  </w:footnote>
  <w:footnote w:id="1">
    <w:p w14:paraId="175D7BDE" w14:textId="77777777" w:rsidR="005B13D0" w:rsidRPr="009844D1" w:rsidRDefault="005B13D0" w:rsidP="005B13D0">
      <w:pPr>
        <w:pStyle w:val="FootnoteText"/>
        <w:rPr>
          <w:lang w:val="en-IE"/>
        </w:rPr>
      </w:pPr>
      <w:r>
        <w:rPr>
          <w:rStyle w:val="FootnoteReference"/>
        </w:rPr>
        <w:footnoteRef/>
      </w:r>
      <w:r w:rsidRPr="009844D1">
        <w:rPr>
          <w:lang w:val="en-IE"/>
        </w:rPr>
        <w:t xml:space="preserve"> </w:t>
      </w:r>
      <w:r>
        <w:rPr>
          <w:lang w:val="en-IE"/>
        </w:rPr>
        <w:t>I</w:t>
      </w:r>
      <w:r w:rsidRPr="00DC191D">
        <w:rPr>
          <w:rFonts w:eastAsia="Calibri"/>
          <w:lang w:val="en-IE" w:eastAsia="ar-SA"/>
        </w:rPr>
        <w:t>f Annex 6 is applicable</w:t>
      </w:r>
    </w:p>
  </w:footnote>
  <w:footnote w:id="2">
    <w:p w14:paraId="7865C23F" w14:textId="77777777" w:rsidR="005B13D0" w:rsidRPr="00FB4C40" w:rsidDel="009C1989" w:rsidRDefault="005B13D0" w:rsidP="005B13D0">
      <w:pPr>
        <w:pStyle w:val="FootnoteText"/>
        <w:rPr>
          <w:lang w:val="en-US"/>
        </w:rPr>
      </w:pPr>
      <w:r w:rsidDel="009C1989">
        <w:rPr>
          <w:rStyle w:val="FootnoteReference"/>
        </w:rPr>
        <w:footnoteRef/>
      </w:r>
      <w:r w:rsidRPr="00FB4C40" w:rsidDel="009C1989">
        <w:rPr>
          <w:lang w:val="en-US"/>
        </w:rPr>
        <w:t xml:space="preserve"> </w:t>
      </w:r>
      <w:r w:rsidRPr="00331B27" w:rsidDel="009C1989">
        <w:rPr>
          <w:sz w:val="16"/>
          <w:szCs w:val="16"/>
          <w:lang w:val="en-GB"/>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482A" w14:textId="77777777" w:rsidR="00005690" w:rsidRDefault="00005690">
    <w:pPr>
      <w:spacing w:line="1" w:lineRule="exact"/>
    </w:pPr>
    <w:r>
      <w:rPr>
        <w:noProof/>
        <w:color w:val="2B579A"/>
        <w:shd w:val="clear" w:color="auto" w:fill="E6E6E6"/>
        <w:lang w:eastAsia="en-GB"/>
      </w:rPr>
      <mc:AlternateContent>
        <mc:Choice Requires="wps">
          <w:drawing>
            <wp:anchor distT="0" distB="0" distL="0" distR="0" simplePos="0" relativeHeight="251659264" behindDoc="1" locked="0" layoutInCell="1" allowOverlap="1" wp14:anchorId="44BEB3DF" wp14:editId="630752D1">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1C392CB8" w14:textId="77777777" w:rsidR="00005690" w:rsidRDefault="00005690">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44BEB3DF"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1C392CB8" w14:textId="77777777" w:rsidR="00005690" w:rsidRDefault="00005690">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6CBB" w14:textId="77777777" w:rsidR="00005690" w:rsidRDefault="0000569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10"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5"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22"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8"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7"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2"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54"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55"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1"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6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6"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6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0"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54"/>
  </w:num>
  <w:num w:numId="2" w16cid:durableId="1295673455">
    <w:abstractNumId w:val="53"/>
  </w:num>
  <w:num w:numId="3" w16cid:durableId="175576901">
    <w:abstractNumId w:val="14"/>
  </w:num>
  <w:num w:numId="4" w16cid:durableId="1565753066">
    <w:abstractNumId w:val="60"/>
  </w:num>
  <w:num w:numId="5" w16cid:durableId="541601681">
    <w:abstractNumId w:val="70"/>
  </w:num>
  <w:num w:numId="6" w16cid:durableId="728305463">
    <w:abstractNumId w:val="19"/>
  </w:num>
  <w:num w:numId="7" w16cid:durableId="1970283433">
    <w:abstractNumId w:val="68"/>
  </w:num>
  <w:num w:numId="8" w16cid:durableId="134951762">
    <w:abstractNumId w:val="1"/>
  </w:num>
  <w:num w:numId="9" w16cid:durableId="86119548">
    <w:abstractNumId w:val="27"/>
  </w:num>
  <w:num w:numId="10" w16cid:durableId="1499732114">
    <w:abstractNumId w:val="43"/>
  </w:num>
  <w:num w:numId="11" w16cid:durableId="1126585314">
    <w:abstractNumId w:val="28"/>
  </w:num>
  <w:num w:numId="12" w16cid:durableId="1602106903">
    <w:abstractNumId w:val="72"/>
  </w:num>
  <w:num w:numId="13" w16cid:durableId="606349681">
    <w:abstractNumId w:val="55"/>
  </w:num>
  <w:num w:numId="14" w16cid:durableId="770587400">
    <w:abstractNumId w:val="15"/>
  </w:num>
  <w:num w:numId="15" w16cid:durableId="371810703">
    <w:abstractNumId w:val="4"/>
  </w:num>
  <w:num w:numId="16" w16cid:durableId="848133887">
    <w:abstractNumId w:val="75"/>
  </w:num>
  <w:num w:numId="17" w16cid:durableId="147290727">
    <w:abstractNumId w:val="44"/>
  </w:num>
  <w:num w:numId="18" w16cid:durableId="621351782">
    <w:abstractNumId w:val="5"/>
  </w:num>
  <w:num w:numId="19" w16cid:durableId="280386474">
    <w:abstractNumId w:val="51"/>
  </w:num>
  <w:num w:numId="20" w16cid:durableId="1219442876">
    <w:abstractNumId w:val="31"/>
  </w:num>
  <w:num w:numId="21" w16cid:durableId="1978677127">
    <w:abstractNumId w:val="23"/>
  </w:num>
  <w:num w:numId="22" w16cid:durableId="1121800863">
    <w:abstractNumId w:val="8"/>
  </w:num>
  <w:num w:numId="23" w16cid:durableId="1052849471">
    <w:abstractNumId w:val="6"/>
  </w:num>
  <w:num w:numId="24" w16cid:durableId="1378162392">
    <w:abstractNumId w:val="62"/>
  </w:num>
  <w:num w:numId="25" w16cid:durableId="2052260606">
    <w:abstractNumId w:val="65"/>
  </w:num>
  <w:num w:numId="26" w16cid:durableId="1348169940">
    <w:abstractNumId w:val="63"/>
  </w:num>
  <w:num w:numId="27" w16cid:durableId="1306010190">
    <w:abstractNumId w:val="71"/>
  </w:num>
  <w:num w:numId="28" w16cid:durableId="1205867131">
    <w:abstractNumId w:val="18"/>
  </w:num>
  <w:num w:numId="29" w16cid:durableId="1384452247">
    <w:abstractNumId w:val="34"/>
  </w:num>
  <w:num w:numId="30" w16cid:durableId="881749667">
    <w:abstractNumId w:val="38"/>
  </w:num>
  <w:num w:numId="31" w16cid:durableId="1312324365">
    <w:abstractNumId w:val="37"/>
  </w:num>
  <w:num w:numId="32" w16cid:durableId="2056194613">
    <w:abstractNumId w:val="3"/>
  </w:num>
  <w:num w:numId="33" w16cid:durableId="735666055">
    <w:abstractNumId w:val="42"/>
  </w:num>
  <w:num w:numId="34" w16cid:durableId="1073963623">
    <w:abstractNumId w:val="22"/>
  </w:num>
  <w:num w:numId="35" w16cid:durableId="1323310868">
    <w:abstractNumId w:val="24"/>
  </w:num>
  <w:num w:numId="36" w16cid:durableId="216746851">
    <w:abstractNumId w:val="30"/>
  </w:num>
  <w:num w:numId="37" w16cid:durableId="440222608">
    <w:abstractNumId w:val="48"/>
  </w:num>
  <w:num w:numId="38" w16cid:durableId="1402215718">
    <w:abstractNumId w:val="32"/>
  </w:num>
  <w:num w:numId="39" w16cid:durableId="1111390030">
    <w:abstractNumId w:val="46"/>
  </w:num>
  <w:num w:numId="40" w16cid:durableId="1167481855">
    <w:abstractNumId w:val="21"/>
  </w:num>
  <w:num w:numId="41" w16cid:durableId="1453472225">
    <w:abstractNumId w:val="12"/>
  </w:num>
  <w:num w:numId="42" w16cid:durableId="613513543">
    <w:abstractNumId w:val="33"/>
  </w:num>
  <w:num w:numId="43" w16cid:durableId="813641122">
    <w:abstractNumId w:val="61"/>
  </w:num>
  <w:num w:numId="44" w16cid:durableId="1771658460">
    <w:abstractNumId w:val="66"/>
  </w:num>
  <w:num w:numId="45" w16cid:durableId="1014914141">
    <w:abstractNumId w:val="40"/>
  </w:num>
  <w:num w:numId="46" w16cid:durableId="229115362">
    <w:abstractNumId w:val="50"/>
  </w:num>
  <w:num w:numId="47" w16cid:durableId="845905073">
    <w:abstractNumId w:val="78"/>
  </w:num>
  <w:num w:numId="48" w16cid:durableId="1420952237">
    <w:abstractNumId w:val="10"/>
  </w:num>
  <w:num w:numId="49" w16cid:durableId="394352469">
    <w:abstractNumId w:val="45"/>
  </w:num>
  <w:num w:numId="50" w16cid:durableId="1107315798">
    <w:abstractNumId w:val="26"/>
  </w:num>
  <w:num w:numId="51" w16cid:durableId="860818247">
    <w:abstractNumId w:val="79"/>
  </w:num>
  <w:num w:numId="52" w16cid:durableId="1014189238">
    <w:abstractNumId w:val="52"/>
  </w:num>
  <w:num w:numId="53" w16cid:durableId="379209323">
    <w:abstractNumId w:val="36"/>
  </w:num>
  <w:num w:numId="54" w16cid:durableId="620260917">
    <w:abstractNumId w:val="49"/>
  </w:num>
  <w:num w:numId="55" w16cid:durableId="348525294">
    <w:abstractNumId w:val="17"/>
  </w:num>
  <w:num w:numId="56" w16cid:durableId="524176961">
    <w:abstractNumId w:val="58"/>
  </w:num>
  <w:num w:numId="57" w16cid:durableId="983512393">
    <w:abstractNumId w:val="2"/>
  </w:num>
  <w:num w:numId="58" w16cid:durableId="1141538436">
    <w:abstractNumId w:val="20"/>
  </w:num>
  <w:num w:numId="59" w16cid:durableId="1649553971">
    <w:abstractNumId w:val="25"/>
  </w:num>
  <w:num w:numId="60" w16cid:durableId="1750689650">
    <w:abstractNumId w:val="69"/>
  </w:num>
  <w:num w:numId="61" w16cid:durableId="1889875756">
    <w:abstractNumId w:val="56"/>
  </w:num>
  <w:num w:numId="62" w16cid:durableId="71827570">
    <w:abstractNumId w:val="39"/>
  </w:num>
  <w:num w:numId="63" w16cid:durableId="1311128342">
    <w:abstractNumId w:val="0"/>
  </w:num>
  <w:num w:numId="64" w16cid:durableId="994450868">
    <w:abstractNumId w:val="35"/>
  </w:num>
  <w:num w:numId="65" w16cid:durableId="519323875">
    <w:abstractNumId w:val="74"/>
  </w:num>
  <w:num w:numId="66" w16cid:durableId="567230997">
    <w:abstractNumId w:val="59"/>
  </w:num>
  <w:num w:numId="67" w16cid:durableId="328797032">
    <w:abstractNumId w:val="16"/>
  </w:num>
  <w:num w:numId="68" w16cid:durableId="9998925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29"/>
  </w:num>
  <w:num w:numId="70" w16cid:durableId="812647414">
    <w:abstractNumId w:val="57"/>
  </w:num>
  <w:num w:numId="71" w16cid:durableId="483787849">
    <w:abstractNumId w:val="13"/>
  </w:num>
  <w:num w:numId="72" w16cid:durableId="585385732">
    <w:abstractNumId w:val="77"/>
  </w:num>
  <w:num w:numId="73" w16cid:durableId="1437480386">
    <w:abstractNumId w:val="7"/>
  </w:num>
  <w:num w:numId="74" w16cid:durableId="1207066281">
    <w:abstractNumId w:val="41"/>
  </w:num>
  <w:num w:numId="75" w16cid:durableId="1511413392">
    <w:abstractNumId w:val="47"/>
  </w:num>
  <w:num w:numId="76" w16cid:durableId="468671779">
    <w:abstractNumId w:val="67"/>
  </w:num>
  <w:num w:numId="77" w16cid:durableId="1503468070">
    <w:abstractNumId w:val="64"/>
  </w:num>
  <w:num w:numId="78" w16cid:durableId="1683824913">
    <w:abstractNumId w:val="9"/>
  </w:num>
  <w:num w:numId="79" w16cid:durableId="1375303898">
    <w:abstractNumId w:val="11"/>
  </w:num>
  <w:num w:numId="80" w16cid:durableId="48640881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D2"/>
    <w:rsid w:val="00005690"/>
    <w:rsid w:val="0002633C"/>
    <w:rsid w:val="001034D3"/>
    <w:rsid w:val="002171AD"/>
    <w:rsid w:val="002666E1"/>
    <w:rsid w:val="002D236D"/>
    <w:rsid w:val="00335422"/>
    <w:rsid w:val="003A0757"/>
    <w:rsid w:val="003F5E73"/>
    <w:rsid w:val="00455F3B"/>
    <w:rsid w:val="004673A0"/>
    <w:rsid w:val="004959D2"/>
    <w:rsid w:val="00513E9A"/>
    <w:rsid w:val="005A4D3A"/>
    <w:rsid w:val="005B13D0"/>
    <w:rsid w:val="005B313F"/>
    <w:rsid w:val="005C1964"/>
    <w:rsid w:val="005D4A9C"/>
    <w:rsid w:val="0064749D"/>
    <w:rsid w:val="007D5B34"/>
    <w:rsid w:val="007E5045"/>
    <w:rsid w:val="00835069"/>
    <w:rsid w:val="00920F7F"/>
    <w:rsid w:val="00AA6CC2"/>
    <w:rsid w:val="00AB6F1A"/>
    <w:rsid w:val="00B818DC"/>
    <w:rsid w:val="00BA492B"/>
    <w:rsid w:val="00C0456B"/>
    <w:rsid w:val="00C54E82"/>
    <w:rsid w:val="00D92C3F"/>
    <w:rsid w:val="00DB2A20"/>
    <w:rsid w:val="00E84397"/>
    <w:rsid w:val="00F93F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DCF9"/>
  <w15:chartTrackingRefBased/>
  <w15:docId w15:val="{9287A792-E542-4113-A888-5CA93A78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D0"/>
    <w:pPr>
      <w:spacing w:after="200" w:line="24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49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5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5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5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95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95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D2"/>
    <w:rPr>
      <w:rFonts w:eastAsiaTheme="majorEastAsia" w:cstheme="majorBidi"/>
      <w:color w:val="272727" w:themeColor="text1" w:themeTint="D8"/>
    </w:rPr>
  </w:style>
  <w:style w:type="paragraph" w:styleId="Title">
    <w:name w:val="Title"/>
    <w:basedOn w:val="Normal"/>
    <w:next w:val="Normal"/>
    <w:link w:val="TitleChar"/>
    <w:uiPriority w:val="10"/>
    <w:qFormat/>
    <w:rsid w:val="00495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D2"/>
    <w:pPr>
      <w:spacing w:before="160"/>
      <w:jc w:val="center"/>
    </w:pPr>
    <w:rPr>
      <w:i/>
      <w:iCs/>
      <w:color w:val="404040" w:themeColor="text1" w:themeTint="BF"/>
    </w:rPr>
  </w:style>
  <w:style w:type="character" w:customStyle="1" w:styleId="QuoteChar">
    <w:name w:val="Quote Char"/>
    <w:basedOn w:val="DefaultParagraphFont"/>
    <w:link w:val="Quote"/>
    <w:uiPriority w:val="29"/>
    <w:rsid w:val="004959D2"/>
    <w:rPr>
      <w:i/>
      <w:iCs/>
      <w:color w:val="404040" w:themeColor="text1" w:themeTint="BF"/>
    </w:rPr>
  </w:style>
  <w:style w:type="paragraph" w:styleId="ListParagraph">
    <w:name w:val="List Paragraph"/>
    <w:basedOn w:val="Normal"/>
    <w:link w:val="ListParagraphChar"/>
    <w:uiPriority w:val="34"/>
    <w:qFormat/>
    <w:rsid w:val="004959D2"/>
    <w:pPr>
      <w:ind w:left="720"/>
      <w:contextualSpacing/>
    </w:pPr>
  </w:style>
  <w:style w:type="character" w:styleId="IntenseEmphasis">
    <w:name w:val="Intense Emphasis"/>
    <w:basedOn w:val="DefaultParagraphFont"/>
    <w:uiPriority w:val="21"/>
    <w:qFormat/>
    <w:rsid w:val="004959D2"/>
    <w:rPr>
      <w:i/>
      <w:iCs/>
      <w:color w:val="0F4761" w:themeColor="accent1" w:themeShade="BF"/>
    </w:rPr>
  </w:style>
  <w:style w:type="paragraph" w:styleId="IntenseQuote">
    <w:name w:val="Intense Quote"/>
    <w:basedOn w:val="Normal"/>
    <w:next w:val="Normal"/>
    <w:link w:val="IntenseQuoteChar"/>
    <w:uiPriority w:val="30"/>
    <w:qFormat/>
    <w:rsid w:val="0049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D2"/>
    <w:rPr>
      <w:i/>
      <w:iCs/>
      <w:color w:val="0F4761" w:themeColor="accent1" w:themeShade="BF"/>
    </w:rPr>
  </w:style>
  <w:style w:type="character" w:styleId="IntenseReference">
    <w:name w:val="Intense Reference"/>
    <w:basedOn w:val="DefaultParagraphFont"/>
    <w:uiPriority w:val="32"/>
    <w:qFormat/>
    <w:rsid w:val="004959D2"/>
    <w:rPr>
      <w:b/>
      <w:bCs/>
      <w:smallCaps/>
      <w:color w:val="0F4761" w:themeColor="accent1" w:themeShade="BF"/>
      <w:spacing w:val="5"/>
    </w:rPr>
  </w:style>
  <w:style w:type="paragraph" w:styleId="Header">
    <w:name w:val="header"/>
    <w:basedOn w:val="Normal"/>
    <w:link w:val="HeaderChar"/>
    <w:unhideWhenUsed/>
    <w:rsid w:val="005B13D0"/>
    <w:pPr>
      <w:tabs>
        <w:tab w:val="center" w:pos="4536"/>
        <w:tab w:val="right" w:pos="9072"/>
      </w:tabs>
    </w:pPr>
  </w:style>
  <w:style w:type="character" w:customStyle="1" w:styleId="HeaderChar">
    <w:name w:val="Header Char"/>
    <w:basedOn w:val="DefaultParagraphFont"/>
    <w:link w:val="Header"/>
    <w:uiPriority w:val="99"/>
    <w:rsid w:val="005B13D0"/>
    <w:rPr>
      <w:rFonts w:ascii="Times New Roman" w:hAnsi="Times New Roman"/>
      <w:kern w:val="0"/>
      <w:szCs w:val="22"/>
      <w:lang w:val="en-GB"/>
      <w14:ligatures w14:val="none"/>
    </w:rPr>
  </w:style>
  <w:style w:type="paragraph" w:styleId="Footer">
    <w:name w:val="footer"/>
    <w:basedOn w:val="Normal"/>
    <w:link w:val="FooterChar"/>
    <w:uiPriority w:val="99"/>
    <w:unhideWhenUsed/>
    <w:rsid w:val="005B13D0"/>
    <w:pPr>
      <w:tabs>
        <w:tab w:val="center" w:pos="4536"/>
        <w:tab w:val="right" w:pos="9072"/>
      </w:tabs>
    </w:pPr>
  </w:style>
  <w:style w:type="character" w:customStyle="1" w:styleId="FooterChar">
    <w:name w:val="Footer Char"/>
    <w:basedOn w:val="DefaultParagraphFont"/>
    <w:link w:val="Footer"/>
    <w:uiPriority w:val="99"/>
    <w:rsid w:val="005B13D0"/>
    <w:rPr>
      <w:rFonts w:ascii="Times New Roman" w:hAnsi="Times New Roman"/>
      <w:kern w:val="0"/>
      <w:szCs w:val="22"/>
      <w:lang w:val="en-GB"/>
      <w14:ligatures w14:val="none"/>
    </w:rPr>
  </w:style>
  <w:style w:type="paragraph" w:customStyle="1" w:styleId="Contact">
    <w:name w:val="Contact"/>
    <w:basedOn w:val="Normal"/>
    <w:next w:val="Normal"/>
    <w:rsid w:val="005B13D0"/>
    <w:pPr>
      <w:spacing w:before="480"/>
      <w:ind w:left="567" w:hanging="567"/>
      <w:jc w:val="left"/>
    </w:pPr>
    <w:rPr>
      <w:rFonts w:eastAsia="Times New Roman" w:cs="Times New Roman"/>
      <w:szCs w:val="20"/>
    </w:rPr>
  </w:style>
  <w:style w:type="paragraph" w:styleId="ListBullet">
    <w:name w:val="List Bullet"/>
    <w:basedOn w:val="Normal"/>
    <w:link w:val="ListBulletChar"/>
    <w:rsid w:val="005B13D0"/>
    <w:pPr>
      <w:numPr>
        <w:numId w:val="19"/>
      </w:numPr>
      <w:tabs>
        <w:tab w:val="clear" w:pos="283"/>
      </w:tabs>
      <w:spacing w:after="240"/>
      <w:ind w:left="0" w:firstLine="0"/>
    </w:pPr>
    <w:rPr>
      <w:rFonts w:eastAsia="Times New Roman" w:cs="Times New Roman"/>
      <w:szCs w:val="20"/>
    </w:rPr>
  </w:style>
  <w:style w:type="paragraph" w:customStyle="1" w:styleId="ListBullet1">
    <w:name w:val="List Bullet 1"/>
    <w:basedOn w:val="Normal"/>
    <w:rsid w:val="005B13D0"/>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5B13D0"/>
    <w:pPr>
      <w:numPr>
        <w:numId w:val="21"/>
      </w:numPr>
      <w:tabs>
        <w:tab w:val="clear" w:pos="1360"/>
      </w:tabs>
      <w:spacing w:after="240"/>
      <w:ind w:left="0" w:firstLine="0"/>
    </w:pPr>
    <w:rPr>
      <w:rFonts w:eastAsia="Times New Roman" w:cs="Times New Roman"/>
      <w:szCs w:val="20"/>
    </w:rPr>
  </w:style>
  <w:style w:type="paragraph" w:styleId="ListBullet3">
    <w:name w:val="List Bullet 3"/>
    <w:basedOn w:val="Normal"/>
    <w:rsid w:val="005B13D0"/>
    <w:pPr>
      <w:numPr>
        <w:numId w:val="22"/>
      </w:numPr>
      <w:tabs>
        <w:tab w:val="clear" w:pos="2199"/>
      </w:tabs>
      <w:spacing w:after="240"/>
      <w:ind w:left="0" w:firstLine="0"/>
    </w:pPr>
    <w:rPr>
      <w:rFonts w:eastAsia="Times New Roman" w:cs="Times New Roman"/>
      <w:szCs w:val="20"/>
    </w:rPr>
  </w:style>
  <w:style w:type="paragraph" w:styleId="ListBullet4">
    <w:name w:val="List Bullet 4"/>
    <w:basedOn w:val="Normal"/>
    <w:rsid w:val="005B13D0"/>
    <w:pPr>
      <w:numPr>
        <w:numId w:val="23"/>
      </w:numPr>
      <w:tabs>
        <w:tab w:val="clear" w:pos="3163"/>
      </w:tabs>
      <w:spacing w:after="240"/>
      <w:ind w:left="0" w:firstLine="0"/>
    </w:pPr>
    <w:rPr>
      <w:rFonts w:eastAsia="Times New Roman" w:cs="Times New Roman"/>
      <w:szCs w:val="20"/>
    </w:rPr>
  </w:style>
  <w:style w:type="paragraph" w:customStyle="1" w:styleId="ListDash">
    <w:name w:val="List Dash"/>
    <w:basedOn w:val="Normal"/>
    <w:rsid w:val="005B13D0"/>
    <w:pPr>
      <w:numPr>
        <w:numId w:val="24"/>
      </w:numPr>
      <w:tabs>
        <w:tab w:val="clear" w:pos="283"/>
      </w:tabs>
      <w:spacing w:after="240"/>
      <w:ind w:left="0" w:firstLine="0"/>
    </w:pPr>
    <w:rPr>
      <w:rFonts w:eastAsia="Times New Roman" w:cs="Times New Roman"/>
      <w:szCs w:val="20"/>
    </w:rPr>
  </w:style>
  <w:style w:type="paragraph" w:customStyle="1" w:styleId="ListDash1">
    <w:name w:val="List Dash 1"/>
    <w:basedOn w:val="Normal"/>
    <w:rsid w:val="005B13D0"/>
    <w:pPr>
      <w:numPr>
        <w:numId w:val="25"/>
      </w:numPr>
      <w:tabs>
        <w:tab w:val="clear" w:pos="765"/>
      </w:tabs>
      <w:spacing w:after="240"/>
      <w:ind w:left="0" w:firstLine="0"/>
    </w:pPr>
    <w:rPr>
      <w:rFonts w:eastAsia="Times New Roman" w:cs="Times New Roman"/>
      <w:szCs w:val="20"/>
    </w:rPr>
  </w:style>
  <w:style w:type="paragraph" w:customStyle="1" w:styleId="ListDash2">
    <w:name w:val="List Dash 2"/>
    <w:basedOn w:val="Normal"/>
    <w:rsid w:val="005B13D0"/>
    <w:pPr>
      <w:numPr>
        <w:numId w:val="26"/>
      </w:numPr>
      <w:tabs>
        <w:tab w:val="clear" w:pos="1360"/>
      </w:tabs>
      <w:spacing w:after="240"/>
      <w:ind w:left="0" w:firstLine="0"/>
    </w:pPr>
    <w:rPr>
      <w:rFonts w:eastAsia="Times New Roman" w:cs="Times New Roman"/>
      <w:szCs w:val="20"/>
    </w:rPr>
  </w:style>
  <w:style w:type="paragraph" w:customStyle="1" w:styleId="ListDash3">
    <w:name w:val="List Dash 3"/>
    <w:basedOn w:val="Normal"/>
    <w:rsid w:val="005B13D0"/>
    <w:pPr>
      <w:numPr>
        <w:numId w:val="27"/>
      </w:numPr>
      <w:tabs>
        <w:tab w:val="clear" w:pos="2199"/>
      </w:tabs>
      <w:spacing w:after="240"/>
      <w:ind w:left="0" w:firstLine="0"/>
    </w:pPr>
    <w:rPr>
      <w:rFonts w:eastAsia="Times New Roman" w:cs="Times New Roman"/>
      <w:szCs w:val="20"/>
    </w:rPr>
  </w:style>
  <w:style w:type="paragraph" w:customStyle="1" w:styleId="ListDash4">
    <w:name w:val="List Dash 4"/>
    <w:basedOn w:val="Normal"/>
    <w:rsid w:val="005B13D0"/>
    <w:pPr>
      <w:numPr>
        <w:numId w:val="28"/>
      </w:numPr>
      <w:tabs>
        <w:tab w:val="clear" w:pos="3163"/>
      </w:tabs>
      <w:spacing w:after="240"/>
      <w:ind w:left="0" w:firstLine="0"/>
    </w:pPr>
    <w:rPr>
      <w:rFonts w:eastAsia="Times New Roman" w:cs="Times New Roman"/>
      <w:szCs w:val="20"/>
    </w:rPr>
  </w:style>
  <w:style w:type="paragraph" w:styleId="ListNumber">
    <w:name w:val="List Number"/>
    <w:basedOn w:val="Normal"/>
    <w:rsid w:val="005B13D0"/>
    <w:pPr>
      <w:numPr>
        <w:numId w:val="29"/>
      </w:numPr>
      <w:tabs>
        <w:tab w:val="clear" w:pos="709"/>
      </w:tabs>
      <w:spacing w:after="240"/>
      <w:ind w:left="0" w:firstLine="0"/>
    </w:pPr>
    <w:rPr>
      <w:rFonts w:eastAsia="Times New Roman" w:cs="Times New Roman"/>
      <w:szCs w:val="20"/>
    </w:rPr>
  </w:style>
  <w:style w:type="paragraph" w:customStyle="1" w:styleId="ListNumber1">
    <w:name w:val="List Number 1"/>
    <w:basedOn w:val="Normal"/>
    <w:rsid w:val="005B13D0"/>
    <w:pPr>
      <w:numPr>
        <w:numId w:val="30"/>
      </w:numPr>
      <w:tabs>
        <w:tab w:val="clear" w:pos="1191"/>
      </w:tabs>
      <w:spacing w:after="240"/>
      <w:ind w:left="0" w:firstLine="0"/>
    </w:pPr>
    <w:rPr>
      <w:rFonts w:eastAsia="Times New Roman" w:cs="Times New Roman"/>
      <w:szCs w:val="20"/>
    </w:rPr>
  </w:style>
  <w:style w:type="paragraph" w:styleId="ListNumber2">
    <w:name w:val="List Number 2"/>
    <w:basedOn w:val="Normal"/>
    <w:rsid w:val="005B13D0"/>
    <w:pPr>
      <w:numPr>
        <w:numId w:val="31"/>
      </w:numPr>
      <w:tabs>
        <w:tab w:val="clear" w:pos="1786"/>
      </w:tabs>
      <w:spacing w:after="240"/>
      <w:ind w:left="0" w:firstLine="0"/>
    </w:pPr>
    <w:rPr>
      <w:rFonts w:eastAsia="Times New Roman" w:cs="Times New Roman"/>
      <w:szCs w:val="20"/>
    </w:rPr>
  </w:style>
  <w:style w:type="paragraph" w:styleId="ListNumber3">
    <w:name w:val="List Number 3"/>
    <w:basedOn w:val="Normal"/>
    <w:rsid w:val="005B13D0"/>
    <w:pPr>
      <w:numPr>
        <w:numId w:val="32"/>
      </w:numPr>
      <w:tabs>
        <w:tab w:val="clear" w:pos="2625"/>
      </w:tabs>
      <w:spacing w:after="240"/>
      <w:ind w:left="0" w:firstLine="0"/>
    </w:pPr>
    <w:rPr>
      <w:rFonts w:eastAsia="Times New Roman" w:cs="Times New Roman"/>
      <w:szCs w:val="20"/>
    </w:rPr>
  </w:style>
  <w:style w:type="paragraph" w:styleId="ListNumber4">
    <w:name w:val="List Number 4"/>
    <w:basedOn w:val="Normal"/>
    <w:rsid w:val="005B13D0"/>
    <w:pPr>
      <w:numPr>
        <w:numId w:val="33"/>
      </w:numPr>
      <w:tabs>
        <w:tab w:val="clear" w:pos="3589"/>
      </w:tabs>
      <w:spacing w:after="240"/>
      <w:ind w:left="0" w:firstLine="0"/>
    </w:pPr>
    <w:rPr>
      <w:rFonts w:eastAsia="Times New Roman" w:cs="Times New Roman"/>
      <w:szCs w:val="20"/>
    </w:rPr>
  </w:style>
  <w:style w:type="paragraph" w:customStyle="1" w:styleId="ListNumberLevel2">
    <w:name w:val="List Number (Level 2)"/>
    <w:basedOn w:val="Normal"/>
    <w:rsid w:val="005B13D0"/>
    <w:pPr>
      <w:numPr>
        <w:ilvl w:val="1"/>
        <w:numId w:val="29"/>
      </w:numPr>
      <w:tabs>
        <w:tab w:val="clear" w:pos="1417"/>
      </w:tabs>
      <w:spacing w:after="240"/>
      <w:ind w:left="0" w:firstLine="0"/>
    </w:pPr>
    <w:rPr>
      <w:rFonts w:eastAsia="Times New Roman" w:cs="Times New Roman"/>
      <w:szCs w:val="20"/>
    </w:rPr>
  </w:style>
  <w:style w:type="paragraph" w:customStyle="1" w:styleId="ListNumber1Level2">
    <w:name w:val="List Number 1 (Level 2)"/>
    <w:basedOn w:val="Normal"/>
    <w:rsid w:val="005B13D0"/>
    <w:pPr>
      <w:numPr>
        <w:ilvl w:val="1"/>
        <w:numId w:val="30"/>
      </w:numPr>
      <w:tabs>
        <w:tab w:val="clear" w:pos="1899"/>
      </w:tabs>
      <w:spacing w:after="240"/>
      <w:ind w:left="0" w:firstLine="0"/>
    </w:pPr>
    <w:rPr>
      <w:rFonts w:eastAsia="Times New Roman" w:cs="Times New Roman"/>
      <w:szCs w:val="20"/>
    </w:rPr>
  </w:style>
  <w:style w:type="paragraph" w:customStyle="1" w:styleId="ListNumber2Level2">
    <w:name w:val="List Number 2 (Level 2)"/>
    <w:basedOn w:val="Normal"/>
    <w:rsid w:val="005B13D0"/>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5B13D0"/>
    <w:pPr>
      <w:numPr>
        <w:ilvl w:val="1"/>
        <w:numId w:val="32"/>
      </w:numPr>
      <w:tabs>
        <w:tab w:val="clear" w:pos="3333"/>
      </w:tabs>
      <w:spacing w:after="240"/>
      <w:ind w:left="0" w:firstLine="0"/>
    </w:pPr>
    <w:rPr>
      <w:rFonts w:eastAsia="Times New Roman" w:cs="Times New Roman"/>
      <w:szCs w:val="20"/>
    </w:rPr>
  </w:style>
  <w:style w:type="paragraph" w:customStyle="1" w:styleId="ListNumber4Level2">
    <w:name w:val="List Number 4 (Level 2)"/>
    <w:basedOn w:val="Normal"/>
    <w:rsid w:val="005B13D0"/>
    <w:pPr>
      <w:numPr>
        <w:ilvl w:val="1"/>
        <w:numId w:val="33"/>
      </w:numPr>
      <w:tabs>
        <w:tab w:val="clear" w:pos="4297"/>
      </w:tabs>
      <w:spacing w:after="240"/>
      <w:ind w:left="0" w:firstLine="0"/>
    </w:pPr>
    <w:rPr>
      <w:rFonts w:eastAsia="Times New Roman" w:cs="Times New Roman"/>
      <w:szCs w:val="20"/>
    </w:rPr>
  </w:style>
  <w:style w:type="paragraph" w:customStyle="1" w:styleId="ListNumberLevel3">
    <w:name w:val="List Number (Level 3)"/>
    <w:basedOn w:val="Normal"/>
    <w:rsid w:val="005B13D0"/>
    <w:pPr>
      <w:numPr>
        <w:ilvl w:val="2"/>
        <w:numId w:val="29"/>
      </w:numPr>
      <w:tabs>
        <w:tab w:val="clear" w:pos="2126"/>
      </w:tabs>
      <w:spacing w:after="240"/>
      <w:ind w:left="0" w:firstLine="0"/>
    </w:pPr>
    <w:rPr>
      <w:rFonts w:eastAsia="Times New Roman" w:cs="Times New Roman"/>
      <w:szCs w:val="20"/>
    </w:rPr>
  </w:style>
  <w:style w:type="paragraph" w:customStyle="1" w:styleId="ListNumber1Level3">
    <w:name w:val="List Number 1 (Level 3)"/>
    <w:basedOn w:val="Normal"/>
    <w:rsid w:val="005B13D0"/>
    <w:pPr>
      <w:numPr>
        <w:ilvl w:val="2"/>
        <w:numId w:val="30"/>
      </w:numPr>
      <w:tabs>
        <w:tab w:val="clear" w:pos="2608"/>
      </w:tabs>
      <w:spacing w:after="240"/>
      <w:ind w:left="0" w:firstLine="0"/>
    </w:pPr>
    <w:rPr>
      <w:rFonts w:eastAsia="Times New Roman" w:cs="Times New Roman"/>
      <w:szCs w:val="20"/>
    </w:rPr>
  </w:style>
  <w:style w:type="paragraph" w:customStyle="1" w:styleId="ListNumber2Level3">
    <w:name w:val="List Number 2 (Level 3)"/>
    <w:basedOn w:val="Normal"/>
    <w:rsid w:val="005B13D0"/>
    <w:pPr>
      <w:numPr>
        <w:ilvl w:val="2"/>
        <w:numId w:val="31"/>
      </w:numPr>
      <w:tabs>
        <w:tab w:val="clear" w:pos="3203"/>
      </w:tabs>
      <w:spacing w:after="240"/>
      <w:ind w:left="0" w:firstLine="0"/>
    </w:pPr>
    <w:rPr>
      <w:rFonts w:eastAsia="Times New Roman" w:cs="Times New Roman"/>
      <w:szCs w:val="20"/>
    </w:rPr>
  </w:style>
  <w:style w:type="paragraph" w:customStyle="1" w:styleId="ListNumber3Level3">
    <w:name w:val="List Number 3 (Level 3)"/>
    <w:basedOn w:val="Normal"/>
    <w:rsid w:val="005B13D0"/>
    <w:pPr>
      <w:numPr>
        <w:ilvl w:val="2"/>
        <w:numId w:val="32"/>
      </w:numPr>
      <w:tabs>
        <w:tab w:val="clear" w:pos="4042"/>
      </w:tabs>
      <w:spacing w:after="240"/>
      <w:ind w:left="0" w:firstLine="0"/>
    </w:pPr>
    <w:rPr>
      <w:rFonts w:eastAsia="Times New Roman" w:cs="Times New Roman"/>
      <w:szCs w:val="20"/>
    </w:rPr>
  </w:style>
  <w:style w:type="paragraph" w:customStyle="1" w:styleId="ListNumber4Level3">
    <w:name w:val="List Number 4 (Level 3)"/>
    <w:basedOn w:val="Normal"/>
    <w:rsid w:val="005B13D0"/>
    <w:pPr>
      <w:numPr>
        <w:ilvl w:val="2"/>
        <w:numId w:val="33"/>
      </w:numPr>
      <w:tabs>
        <w:tab w:val="clear" w:pos="5006"/>
      </w:tabs>
      <w:spacing w:after="240"/>
      <w:ind w:left="0" w:firstLine="0"/>
    </w:pPr>
    <w:rPr>
      <w:rFonts w:eastAsia="Times New Roman" w:cs="Times New Roman"/>
      <w:szCs w:val="20"/>
    </w:rPr>
  </w:style>
  <w:style w:type="paragraph" w:customStyle="1" w:styleId="ListNumberLevel4">
    <w:name w:val="List Number (Level 4)"/>
    <w:basedOn w:val="Normal"/>
    <w:rsid w:val="005B13D0"/>
    <w:pPr>
      <w:numPr>
        <w:ilvl w:val="3"/>
        <w:numId w:val="29"/>
      </w:numPr>
      <w:tabs>
        <w:tab w:val="clear" w:pos="2835"/>
      </w:tabs>
      <w:spacing w:after="240"/>
      <w:ind w:left="0" w:firstLine="0"/>
    </w:pPr>
    <w:rPr>
      <w:rFonts w:eastAsia="Times New Roman" w:cs="Times New Roman"/>
      <w:szCs w:val="20"/>
    </w:rPr>
  </w:style>
  <w:style w:type="paragraph" w:customStyle="1" w:styleId="ListNumber1Level4">
    <w:name w:val="List Number 1 (Level 4)"/>
    <w:basedOn w:val="Normal"/>
    <w:rsid w:val="005B13D0"/>
    <w:pPr>
      <w:numPr>
        <w:ilvl w:val="3"/>
        <w:numId w:val="30"/>
      </w:numPr>
      <w:tabs>
        <w:tab w:val="clear" w:pos="3317"/>
      </w:tabs>
      <w:spacing w:after="240"/>
      <w:ind w:left="0" w:firstLine="0"/>
    </w:pPr>
    <w:rPr>
      <w:rFonts w:eastAsia="Times New Roman" w:cs="Times New Roman"/>
      <w:szCs w:val="20"/>
    </w:rPr>
  </w:style>
  <w:style w:type="paragraph" w:customStyle="1" w:styleId="ListNumber2Level4">
    <w:name w:val="List Number 2 (Level 4)"/>
    <w:basedOn w:val="Normal"/>
    <w:rsid w:val="005B13D0"/>
    <w:pPr>
      <w:numPr>
        <w:ilvl w:val="3"/>
        <w:numId w:val="31"/>
      </w:numPr>
      <w:tabs>
        <w:tab w:val="clear" w:pos="3912"/>
      </w:tabs>
      <w:spacing w:after="240"/>
      <w:ind w:left="0" w:firstLine="0"/>
    </w:pPr>
    <w:rPr>
      <w:rFonts w:eastAsia="Times New Roman" w:cs="Times New Roman"/>
      <w:szCs w:val="20"/>
    </w:rPr>
  </w:style>
  <w:style w:type="paragraph" w:customStyle="1" w:styleId="ListNumber3Level4">
    <w:name w:val="List Number 3 (Level 4)"/>
    <w:basedOn w:val="Normal"/>
    <w:rsid w:val="005B13D0"/>
    <w:pPr>
      <w:numPr>
        <w:ilvl w:val="3"/>
        <w:numId w:val="32"/>
      </w:numPr>
      <w:tabs>
        <w:tab w:val="clear" w:pos="4751"/>
      </w:tabs>
      <w:spacing w:after="240"/>
      <w:ind w:left="0" w:firstLine="0"/>
    </w:pPr>
    <w:rPr>
      <w:rFonts w:eastAsia="Times New Roman" w:cs="Times New Roman"/>
      <w:szCs w:val="20"/>
    </w:rPr>
  </w:style>
  <w:style w:type="paragraph" w:customStyle="1" w:styleId="ListNumber4Level4">
    <w:name w:val="List Number 4 (Level 4)"/>
    <w:basedOn w:val="Normal"/>
    <w:rsid w:val="005B13D0"/>
    <w:pPr>
      <w:numPr>
        <w:ilvl w:val="3"/>
        <w:numId w:val="33"/>
      </w:numPr>
      <w:tabs>
        <w:tab w:val="clear" w:pos="5715"/>
      </w:tabs>
      <w:spacing w:after="240"/>
      <w:ind w:left="0" w:firstLine="0"/>
    </w:pPr>
    <w:rPr>
      <w:rFonts w:eastAsia="Times New Roman" w:cs="Times New Roman"/>
      <w:szCs w:val="20"/>
    </w:rPr>
  </w:style>
  <w:style w:type="paragraph" w:styleId="TOC5">
    <w:name w:val="toc 5"/>
    <w:basedOn w:val="Normal"/>
    <w:next w:val="Normal"/>
    <w:autoRedefine/>
    <w:uiPriority w:val="39"/>
    <w:qFormat/>
    <w:rsid w:val="005B13D0"/>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5B13D0"/>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5B13D0"/>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5B13D0"/>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5B13D0"/>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5B13D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13D0"/>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5B13D0"/>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B13D0"/>
    <w:rPr>
      <w:rFonts w:ascii="Times New Roman" w:eastAsia="Times New Roman" w:hAnsi="Times New Roman" w:cs="Times New Roman"/>
      <w:kern w:val="0"/>
      <w:sz w:val="20"/>
      <w:szCs w:val="20"/>
      <w:lang w:val="fr-FR" w:eastAsia="zh-CN"/>
      <w14:ligatures w14:val="none"/>
    </w:rPr>
  </w:style>
  <w:style w:type="character" w:styleId="CommentReference">
    <w:name w:val="annotation reference"/>
    <w:uiPriority w:val="99"/>
    <w:rsid w:val="005B13D0"/>
    <w:rPr>
      <w:rFonts w:cs="Times New Roman"/>
      <w:sz w:val="16"/>
      <w:szCs w:val="16"/>
    </w:rPr>
  </w:style>
  <w:style w:type="paragraph" w:styleId="CommentText">
    <w:name w:val="annotation text"/>
    <w:basedOn w:val="Normal"/>
    <w:link w:val="CommentTextChar"/>
    <w:uiPriority w:val="99"/>
    <w:rsid w:val="005B13D0"/>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5B13D0"/>
    <w:rPr>
      <w:rFonts w:ascii="Times New Roman" w:eastAsia="Times New Roman" w:hAnsi="Times New Roman" w:cs="Times New Roman"/>
      <w:kern w:val="0"/>
      <w:sz w:val="20"/>
      <w:szCs w:val="20"/>
      <w:lang w:val="en-GB" w:eastAsia="zh-CN"/>
      <w14:ligatures w14:val="none"/>
    </w:rPr>
  </w:style>
  <w:style w:type="paragraph" w:customStyle="1" w:styleId="Style2">
    <w:name w:val="Style2"/>
    <w:link w:val="Style2Char"/>
    <w:rsid w:val="005B13D0"/>
    <w:pPr>
      <w:spacing w:after="200" w:line="276" w:lineRule="auto"/>
      <w:contextualSpacing/>
      <w:jc w:val="both"/>
    </w:pPr>
    <w:rPr>
      <w:rFonts w:ascii="Times New Roman" w:eastAsia="Calibri" w:hAnsi="Times New Roman" w:cs="Times New Roman"/>
      <w:kern w:val="0"/>
      <w:szCs w:val="20"/>
      <w:lang w:val="en-GB"/>
      <w14:ligatures w14:val="none"/>
    </w:rPr>
  </w:style>
  <w:style w:type="character" w:customStyle="1" w:styleId="Style2Char">
    <w:name w:val="Style2 Char"/>
    <w:link w:val="Style2"/>
    <w:rsid w:val="005B13D0"/>
    <w:rPr>
      <w:rFonts w:ascii="Times New Roman" w:eastAsia="Calibri" w:hAnsi="Times New Roman" w:cs="Times New Roman"/>
      <w:kern w:val="0"/>
      <w:szCs w:val="20"/>
      <w:lang w:val="en-GB"/>
      <w14:ligatures w14:val="none"/>
    </w:rPr>
  </w:style>
  <w:style w:type="paragraph" w:customStyle="1" w:styleId="ZCom">
    <w:name w:val="Z_Com"/>
    <w:basedOn w:val="Normal"/>
    <w:next w:val="Normal"/>
    <w:uiPriority w:val="99"/>
    <w:rsid w:val="005B13D0"/>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5B13D0"/>
    <w:rPr>
      <w:color w:val="0088CC"/>
      <w:u w:val="single"/>
    </w:rPr>
  </w:style>
  <w:style w:type="paragraph" w:customStyle="1" w:styleId="Default">
    <w:name w:val="Default"/>
    <w:rsid w:val="005B13D0"/>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Style1">
    <w:name w:val="Style1"/>
    <w:link w:val="Style1Char"/>
    <w:rsid w:val="005B13D0"/>
    <w:pPr>
      <w:spacing w:after="200" w:line="276" w:lineRule="auto"/>
      <w:ind w:left="851" w:hanging="360"/>
      <w:contextualSpacing/>
      <w:jc w:val="both"/>
    </w:pPr>
    <w:rPr>
      <w:rFonts w:ascii="Times New Roman" w:eastAsia="Calibri" w:hAnsi="Times New Roman" w:cs="Times New Roman"/>
      <w:kern w:val="0"/>
      <w:szCs w:val="20"/>
      <w:lang w:val="en-GB"/>
      <w14:ligatures w14:val="none"/>
    </w:rPr>
  </w:style>
  <w:style w:type="character" w:customStyle="1" w:styleId="Style1Char">
    <w:name w:val="Style1 Char"/>
    <w:link w:val="Style1"/>
    <w:rsid w:val="005B13D0"/>
    <w:rPr>
      <w:rFonts w:ascii="Times New Roman" w:eastAsia="Calibri" w:hAnsi="Times New Roman" w:cs="Times New Roman"/>
      <w:kern w:val="0"/>
      <w:szCs w:val="20"/>
      <w:lang w:val="en-GB"/>
      <w14:ligatures w14:val="none"/>
    </w:rPr>
  </w:style>
  <w:style w:type="character" w:customStyle="1" w:styleId="ColorfulList-Accent1Char">
    <w:name w:val="Colorful List - Accent 1 Char"/>
    <w:link w:val="ColorfulList-Accent11"/>
    <w:uiPriority w:val="34"/>
    <w:rsid w:val="005B13D0"/>
    <w:rPr>
      <w:lang w:eastAsia="en-GB"/>
    </w:rPr>
  </w:style>
  <w:style w:type="paragraph" w:customStyle="1" w:styleId="ColorfulList-Accent11">
    <w:name w:val="Colorful List - Accent 11"/>
    <w:basedOn w:val="Normal"/>
    <w:link w:val="ColorfulList-Accent1Char"/>
    <w:uiPriority w:val="34"/>
    <w:rsid w:val="005B13D0"/>
    <w:pPr>
      <w:ind w:left="720"/>
      <w:contextualSpacing/>
    </w:pPr>
    <w:rPr>
      <w:rFonts w:asciiTheme="minorHAnsi" w:hAnsiTheme="minorHAnsi"/>
      <w:kern w:val="2"/>
      <w:szCs w:val="24"/>
      <w:lang w:eastAsia="en-GB"/>
      <w14:ligatures w14:val="standardContextual"/>
    </w:rPr>
  </w:style>
  <w:style w:type="character" w:customStyle="1" w:styleId="Corpsdutexte3">
    <w:name w:val="Corps du texte (3)_"/>
    <w:link w:val="Corpsdutexte30"/>
    <w:uiPriority w:val="99"/>
    <w:rsid w:val="005B13D0"/>
    <w:rPr>
      <w:b/>
      <w:bCs/>
      <w:sz w:val="23"/>
      <w:szCs w:val="23"/>
      <w:shd w:val="clear" w:color="auto" w:fill="FFFFFF"/>
    </w:rPr>
  </w:style>
  <w:style w:type="paragraph" w:customStyle="1" w:styleId="Corpsdutexte30">
    <w:name w:val="Corps du texte (3)"/>
    <w:basedOn w:val="Normal"/>
    <w:link w:val="Corpsdutexte3"/>
    <w:uiPriority w:val="99"/>
    <w:rsid w:val="005B13D0"/>
    <w:pPr>
      <w:widowControl w:val="0"/>
      <w:shd w:val="clear" w:color="auto" w:fill="FFFFFF"/>
      <w:spacing w:before="360" w:after="780" w:line="240" w:lineRule="atLeast"/>
      <w:jc w:val="right"/>
    </w:pPr>
    <w:rPr>
      <w:rFonts w:asciiTheme="minorHAnsi" w:hAnsiTheme="minorHAnsi"/>
      <w:b/>
      <w:bCs/>
      <w:kern w:val="2"/>
      <w:sz w:val="23"/>
      <w:szCs w:val="23"/>
      <w:lang/>
      <w14:ligatures w14:val="standardContextual"/>
    </w:rPr>
  </w:style>
  <w:style w:type="character" w:customStyle="1" w:styleId="ListParagraphChar">
    <w:name w:val="List Paragraph Char"/>
    <w:link w:val="ListParagraph"/>
    <w:uiPriority w:val="34"/>
    <w:rsid w:val="005B13D0"/>
  </w:style>
  <w:style w:type="paragraph" w:styleId="TOC6">
    <w:name w:val="toc 6"/>
    <w:basedOn w:val="Normal"/>
    <w:next w:val="Normal"/>
    <w:autoRedefine/>
    <w:uiPriority w:val="39"/>
    <w:unhideWhenUsed/>
    <w:qFormat/>
    <w:rsid w:val="005B13D0"/>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5B13D0"/>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5B13D0"/>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5B13D0"/>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5B13D0"/>
    <w:rPr>
      <w:rFonts w:ascii="Tahoma" w:hAnsi="Tahoma" w:cs="Tahoma"/>
      <w:sz w:val="16"/>
      <w:szCs w:val="16"/>
    </w:rPr>
  </w:style>
  <w:style w:type="character" w:customStyle="1" w:styleId="BalloonTextChar">
    <w:name w:val="Balloon Text Char"/>
    <w:basedOn w:val="DefaultParagraphFont"/>
    <w:link w:val="BalloonText"/>
    <w:rsid w:val="005B13D0"/>
    <w:rPr>
      <w:rFonts w:ascii="Tahoma" w:hAnsi="Tahoma" w:cs="Tahoma"/>
      <w:kern w:val="0"/>
      <w:sz w:val="16"/>
      <w:szCs w:val="16"/>
      <w:lang w:val="en-GB"/>
      <w14:ligatures w14:val="none"/>
    </w:rPr>
  </w:style>
  <w:style w:type="paragraph" w:styleId="CommentSubject">
    <w:name w:val="annotation subject"/>
    <w:basedOn w:val="CommentText"/>
    <w:next w:val="CommentText"/>
    <w:link w:val="CommentSubjectChar"/>
    <w:uiPriority w:val="99"/>
    <w:semiHidden/>
    <w:unhideWhenUsed/>
    <w:rsid w:val="005B13D0"/>
    <w:rPr>
      <w:rFonts w:eastAsiaTheme="minorHAnsi" w:cstheme="minorBidi"/>
      <w:b/>
      <w:bCs/>
      <w:lang w:eastAsia="en-US"/>
    </w:rPr>
  </w:style>
  <w:style w:type="character" w:customStyle="1" w:styleId="CommentSubjectChar">
    <w:name w:val="Comment Subject Char"/>
    <w:basedOn w:val="CommentTextChar"/>
    <w:link w:val="CommentSubject"/>
    <w:rsid w:val="005B13D0"/>
    <w:rPr>
      <w:rFonts w:ascii="Times New Roman" w:eastAsia="Times New Roman" w:hAnsi="Times New Roman" w:cs="Times New Roman"/>
      <w:b/>
      <w:bCs/>
      <w:kern w:val="0"/>
      <w:sz w:val="20"/>
      <w:szCs w:val="20"/>
      <w:lang w:val="en-GB" w:eastAsia="zh-CN"/>
      <w14:ligatures w14:val="none"/>
    </w:rPr>
  </w:style>
  <w:style w:type="paragraph" w:styleId="Revision">
    <w:name w:val="Revision"/>
    <w:hidden/>
    <w:rsid w:val="005B13D0"/>
    <w:pPr>
      <w:spacing w:after="0" w:line="240" w:lineRule="auto"/>
    </w:pPr>
    <w:rPr>
      <w:rFonts w:ascii="Times New Roman" w:hAnsi="Times New Roman"/>
      <w:kern w:val="0"/>
      <w:szCs w:val="22"/>
      <w:lang w:val="en-GB"/>
      <w14:ligatures w14:val="none"/>
    </w:rPr>
  </w:style>
  <w:style w:type="paragraph" w:customStyle="1" w:styleId="Annex">
    <w:name w:val="Annex"/>
    <w:basedOn w:val="Heading6"/>
    <w:qFormat/>
    <w:rsid w:val="005B13D0"/>
    <w:pPr>
      <w:spacing w:before="200" w:after="200"/>
      <w:ind w:left="1797" w:hanging="1797"/>
      <w:jc w:val="right"/>
    </w:pPr>
    <w:rPr>
      <w:rFonts w:eastAsia="Times New Roman"/>
      <w:b/>
      <w:i w:val="0"/>
      <w:color w:val="000000"/>
      <w:szCs w:val="28"/>
      <w:u w:val="single"/>
      <w:lang w:val="en-US" w:eastAsia="en-GB"/>
    </w:rPr>
  </w:style>
  <w:style w:type="paragraph" w:styleId="BodyText">
    <w:name w:val="Body Text"/>
    <w:basedOn w:val="Normal"/>
    <w:link w:val="BodyTextChar"/>
    <w:rsid w:val="005B13D0"/>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5B13D0"/>
    <w:rPr>
      <w:rFonts w:ascii="Times New Roman" w:eastAsia="Times New Roman" w:hAnsi="Times New Roman"/>
      <w:kern w:val="0"/>
      <w:lang w:val="en-US"/>
      <w14:ligatures w14:val="none"/>
    </w:rPr>
  </w:style>
  <w:style w:type="paragraph" w:customStyle="1" w:styleId="TableParagraph">
    <w:name w:val="Table Paragraph"/>
    <w:basedOn w:val="Normal"/>
    <w:uiPriority w:val="1"/>
    <w:rsid w:val="005B13D0"/>
    <w:pPr>
      <w:widowControl w:val="0"/>
      <w:jc w:val="left"/>
    </w:pPr>
    <w:rPr>
      <w:lang w:val="en-US"/>
    </w:rPr>
  </w:style>
  <w:style w:type="table" w:styleId="TableGrid">
    <w:name w:val="Table Grid"/>
    <w:basedOn w:val="TableNormal"/>
    <w:uiPriority w:val="59"/>
    <w:rsid w:val="005B13D0"/>
    <w:pPr>
      <w:widowControl w:val="0"/>
      <w:spacing w:after="0" w:line="240" w:lineRule="auto"/>
    </w:pPr>
    <w:rPr>
      <w:kern w:val="0"/>
      <w:sz w:val="22"/>
      <w:szCs w:val="22"/>
      <w:lang w:val="en-US"/>
      <w14:ligatures w14:val="none"/>
    </w:rPr>
    <w:tblPr/>
  </w:style>
  <w:style w:type="paragraph" w:customStyle="1" w:styleId="CM43">
    <w:name w:val="CM4+3"/>
    <w:basedOn w:val="Default"/>
    <w:next w:val="Default"/>
    <w:uiPriority w:val="99"/>
    <w:rsid w:val="005B13D0"/>
    <w:rPr>
      <w:rFonts w:ascii="EUAlbertina" w:eastAsiaTheme="minorHAnsi" w:hAnsi="EUAlbertina" w:cstheme="minorBidi"/>
      <w:color w:val="auto"/>
      <w:lang w:eastAsia="en-US"/>
    </w:rPr>
  </w:style>
  <w:style w:type="paragraph" w:customStyle="1" w:styleId="CM1">
    <w:name w:val="CM1"/>
    <w:basedOn w:val="Default"/>
    <w:next w:val="Default"/>
    <w:uiPriority w:val="99"/>
    <w:rsid w:val="005B13D0"/>
    <w:rPr>
      <w:rFonts w:ascii="EUAlbertina" w:eastAsiaTheme="minorHAnsi" w:hAnsi="EUAlbertina" w:cstheme="minorBidi"/>
      <w:color w:val="auto"/>
      <w:lang w:eastAsia="en-US"/>
    </w:rPr>
  </w:style>
  <w:style w:type="paragraph" w:customStyle="1" w:styleId="CM3">
    <w:name w:val="CM3"/>
    <w:basedOn w:val="Default"/>
    <w:next w:val="Default"/>
    <w:uiPriority w:val="99"/>
    <w:rsid w:val="005B13D0"/>
    <w:rPr>
      <w:rFonts w:ascii="EUAlbertina" w:eastAsiaTheme="minorHAnsi" w:hAnsi="EUAlbertina" w:cstheme="minorBidi"/>
      <w:color w:val="auto"/>
      <w:lang w:eastAsia="en-US"/>
    </w:rPr>
  </w:style>
  <w:style w:type="character" w:styleId="Emphasis">
    <w:name w:val="Emphasis"/>
    <w:basedOn w:val="DefaultParagraphFont"/>
    <w:uiPriority w:val="20"/>
    <w:qFormat/>
    <w:rsid w:val="005B13D0"/>
    <w:rPr>
      <w:i/>
      <w:iCs/>
    </w:rPr>
  </w:style>
  <w:style w:type="character" w:styleId="FollowedHyperlink">
    <w:name w:val="FollowedHyperlink"/>
    <w:basedOn w:val="DefaultParagraphFont"/>
    <w:uiPriority w:val="99"/>
    <w:semiHidden/>
    <w:unhideWhenUsed/>
    <w:rsid w:val="005B13D0"/>
    <w:rPr>
      <w:color w:val="96607D" w:themeColor="followedHyperlink"/>
      <w:u w:val="single"/>
    </w:rPr>
  </w:style>
  <w:style w:type="paragraph" w:customStyle="1" w:styleId="Subarticle">
    <w:name w:val="Subarticle"/>
    <w:basedOn w:val="Heading5"/>
    <w:link w:val="SubarticleChar"/>
    <w:rsid w:val="005B13D0"/>
    <w:pPr>
      <w:keepNext w:val="0"/>
      <w:keepLines w:val="0"/>
      <w:spacing w:before="0" w:after="0"/>
      <w:ind w:left="720" w:hanging="720"/>
    </w:pPr>
    <w:rPr>
      <w:rFonts w:eastAsia="Times New Roman" w:cs="Times New Roman"/>
      <w:b/>
      <w:color w:val="auto"/>
      <w:lang w:eastAsia="en-GB"/>
    </w:rPr>
  </w:style>
  <w:style w:type="character" w:customStyle="1" w:styleId="SubarticleChar">
    <w:name w:val="Subarticle Char"/>
    <w:link w:val="Subarticle"/>
    <w:rsid w:val="005B13D0"/>
    <w:rPr>
      <w:rFonts w:ascii="Times New Roman" w:eastAsia="Times New Roman" w:hAnsi="Times New Roman" w:cs="Times New Roman"/>
      <w:b/>
      <w:kern w:val="0"/>
      <w:lang w:val="en-GB" w:eastAsia="en-GB"/>
      <w14:ligatures w14:val="none"/>
    </w:rPr>
  </w:style>
  <w:style w:type="paragraph" w:customStyle="1" w:styleId="Article">
    <w:name w:val="Article"/>
    <w:basedOn w:val="Heading4"/>
    <w:link w:val="ArticleChar"/>
    <w:rsid w:val="005B13D0"/>
    <w:pPr>
      <w:keepLines w:val="0"/>
      <w:spacing w:before="0" w:after="0"/>
      <w:ind w:left="1865" w:hanging="1865"/>
    </w:pPr>
    <w:rPr>
      <w:rFonts w:ascii="Times New Roman Bold" w:eastAsia="Times New Roman" w:hAnsi="Times New Roman Bold" w:cs="Times New Roman"/>
      <w:b/>
      <w:bCs/>
      <w:i w:val="0"/>
      <w:iCs w:val="0"/>
      <w:caps/>
      <w:color w:val="auto"/>
    </w:rPr>
  </w:style>
  <w:style w:type="character" w:customStyle="1" w:styleId="ArticleChar">
    <w:name w:val="Article Char"/>
    <w:link w:val="Article"/>
    <w:rsid w:val="005B13D0"/>
    <w:rPr>
      <w:rFonts w:ascii="Times New Roman Bold" w:eastAsia="Times New Roman" w:hAnsi="Times New Roman Bold" w:cs="Times New Roman"/>
      <w:b/>
      <w:bCs/>
      <w:caps/>
      <w:kern w:val="0"/>
      <w:lang w:val="en-GB"/>
      <w14:ligatures w14:val="none"/>
    </w:rPr>
  </w:style>
  <w:style w:type="character" w:styleId="Strong">
    <w:name w:val="Strong"/>
    <w:uiPriority w:val="22"/>
    <w:qFormat/>
    <w:rsid w:val="005B13D0"/>
    <w:rPr>
      <w:b/>
      <w:bCs/>
    </w:rPr>
  </w:style>
  <w:style w:type="paragraph" w:customStyle="1" w:styleId="1">
    <w:name w:val="1"/>
    <w:basedOn w:val="Normal"/>
    <w:link w:val="FootnoteReference"/>
    <w:uiPriority w:val="99"/>
    <w:qFormat/>
    <w:rsid w:val="005B13D0"/>
    <w:pPr>
      <w:spacing w:after="160" w:line="240" w:lineRule="exact"/>
    </w:pPr>
    <w:rPr>
      <w:rFonts w:cs="Times New Roman"/>
      <w:kern w:val="2"/>
      <w:position w:val="4"/>
      <w:sz w:val="20"/>
      <w:szCs w:val="24"/>
      <w:vertAlign w:val="superscript"/>
      <w:lang/>
      <w14:ligatures w14:val="standardContextual"/>
    </w:rPr>
  </w:style>
  <w:style w:type="paragraph" w:customStyle="1" w:styleId="Standard">
    <w:name w:val="Standard"/>
    <w:rsid w:val="005B13D0"/>
    <w:pPr>
      <w:tabs>
        <w:tab w:val="left" w:pos="720"/>
      </w:tabs>
      <w:suppressAutoHyphens/>
      <w:spacing w:after="200" w:line="276" w:lineRule="auto"/>
    </w:pPr>
    <w:rPr>
      <w:rFonts w:ascii="Calibri" w:eastAsia="Calibri" w:hAnsi="Calibri" w:cs="Times New Roman"/>
      <w:kern w:val="0"/>
      <w:sz w:val="22"/>
      <w:szCs w:val="22"/>
      <w:lang w:val="en-GB"/>
      <w14:ligatures w14:val="none"/>
    </w:rPr>
  </w:style>
  <w:style w:type="paragraph" w:styleId="NormalWeb">
    <w:name w:val="Normal (Web)"/>
    <w:basedOn w:val="Normal"/>
    <w:uiPriority w:val="99"/>
    <w:unhideWhenUsed/>
    <w:rsid w:val="005B13D0"/>
    <w:rPr>
      <w:rFonts w:cs="Times New Roman"/>
      <w:szCs w:val="24"/>
    </w:rPr>
  </w:style>
  <w:style w:type="table" w:customStyle="1" w:styleId="TableGrid1">
    <w:name w:val="Table Grid1"/>
    <w:basedOn w:val="TableNormal"/>
    <w:next w:val="TableGrid"/>
    <w:uiPriority w:val="59"/>
    <w:rsid w:val="005B13D0"/>
    <w:pPr>
      <w:spacing w:after="0" w:line="240" w:lineRule="auto"/>
    </w:pPr>
    <w:rPr>
      <w:kern w:val="0"/>
      <w:sz w:val="22"/>
      <w:szCs w:val="22"/>
      <w:lang w:val="en-GB"/>
      <w14:ligatures w14:val="none"/>
    </w:rPr>
    <w:tblPr/>
  </w:style>
  <w:style w:type="paragraph" w:customStyle="1" w:styleId="CM4">
    <w:name w:val="CM4"/>
    <w:basedOn w:val="Default"/>
    <w:next w:val="Default"/>
    <w:uiPriority w:val="99"/>
    <w:rsid w:val="005B13D0"/>
    <w:rPr>
      <w:rFonts w:ascii="EUAlbertina" w:eastAsia="Times New Roman" w:hAnsi="EUAlbertina"/>
      <w:color w:val="auto"/>
      <w:lang w:eastAsia="en-US"/>
    </w:rPr>
  </w:style>
  <w:style w:type="paragraph" w:customStyle="1" w:styleId="Annex2">
    <w:name w:val="Annex2"/>
    <w:basedOn w:val="Heading6"/>
    <w:rsid w:val="005B13D0"/>
    <w:pPr>
      <w:spacing w:before="200" w:after="200"/>
      <w:ind w:left="1797" w:hanging="1797"/>
      <w:jc w:val="center"/>
    </w:pPr>
    <w:rPr>
      <w:rFonts w:ascii="Times New Roman Bold" w:hAnsi="Times New Roman Bold"/>
      <w:b/>
      <w:bCs/>
      <w:i w:val="0"/>
      <w:iCs w:val="0"/>
      <w:caps/>
      <w:color w:val="auto"/>
      <w:szCs w:val="28"/>
      <w:u w:val="single"/>
    </w:rPr>
  </w:style>
  <w:style w:type="numbering" w:customStyle="1" w:styleId="NoList1">
    <w:name w:val="No List1"/>
    <w:next w:val="NoList"/>
    <w:uiPriority w:val="99"/>
    <w:semiHidden/>
    <w:unhideWhenUsed/>
    <w:rsid w:val="005B13D0"/>
  </w:style>
  <w:style w:type="table" w:customStyle="1" w:styleId="TableGrid2">
    <w:name w:val="Table Grid2"/>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
    <w:name w:val="Table Grid11"/>
    <w:basedOn w:val="TableNormal"/>
    <w:next w:val="TableGrid"/>
    <w:uiPriority w:val="59"/>
    <w:rsid w:val="005B13D0"/>
    <w:pPr>
      <w:spacing w:after="0" w:line="240" w:lineRule="auto"/>
    </w:pPr>
    <w:rPr>
      <w:kern w:val="0"/>
      <w:sz w:val="22"/>
      <w:szCs w:val="22"/>
      <w:lang w:val="en-GB"/>
      <w14:ligatures w14:val="none"/>
    </w:rPr>
    <w:tblPr/>
  </w:style>
  <w:style w:type="paragraph" w:styleId="TableofFigures">
    <w:name w:val="table of figures"/>
    <w:basedOn w:val="Normal"/>
    <w:next w:val="Normal"/>
    <w:uiPriority w:val="99"/>
    <w:semiHidden/>
    <w:unhideWhenUsed/>
    <w:rsid w:val="005B13D0"/>
    <w:pPr>
      <w:spacing w:after="0"/>
    </w:pPr>
  </w:style>
  <w:style w:type="numbering" w:customStyle="1" w:styleId="NoList2">
    <w:name w:val="No List2"/>
    <w:next w:val="NoList"/>
    <w:uiPriority w:val="99"/>
    <w:semiHidden/>
    <w:unhideWhenUsed/>
    <w:rsid w:val="005B13D0"/>
  </w:style>
  <w:style w:type="table" w:customStyle="1" w:styleId="TableGrid3">
    <w:name w:val="Table Grid3"/>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2">
    <w:name w:val="Table Grid12"/>
    <w:basedOn w:val="TableNormal"/>
    <w:next w:val="TableGrid"/>
    <w:uiPriority w:val="59"/>
    <w:rsid w:val="005B13D0"/>
    <w:pPr>
      <w:spacing w:after="0" w:line="240" w:lineRule="auto"/>
    </w:pPr>
    <w:rPr>
      <w:kern w:val="0"/>
      <w:sz w:val="22"/>
      <w:szCs w:val="22"/>
      <w:lang w:val="en-GB"/>
      <w14:ligatures w14:val="none"/>
    </w:rPr>
    <w:tblPr/>
  </w:style>
  <w:style w:type="numbering" w:customStyle="1" w:styleId="NoList11">
    <w:name w:val="No List11"/>
    <w:next w:val="NoList"/>
    <w:uiPriority w:val="99"/>
    <w:semiHidden/>
    <w:unhideWhenUsed/>
    <w:rsid w:val="005B13D0"/>
  </w:style>
  <w:style w:type="table" w:customStyle="1" w:styleId="TableGrid21">
    <w:name w:val="Table Grid21"/>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1">
    <w:name w:val="Table Grid111"/>
    <w:basedOn w:val="TableNormal"/>
    <w:next w:val="TableGrid"/>
    <w:uiPriority w:val="59"/>
    <w:rsid w:val="005B13D0"/>
    <w:pPr>
      <w:spacing w:after="0" w:line="240" w:lineRule="auto"/>
    </w:pPr>
    <w:rPr>
      <w:kern w:val="0"/>
      <w:sz w:val="22"/>
      <w:szCs w:val="22"/>
      <w:lang w:val="en-GB"/>
      <w14:ligatures w14:val="none"/>
    </w:rPr>
    <w:tblPr/>
  </w:style>
  <w:style w:type="character" w:customStyle="1" w:styleId="Bodytext1">
    <w:name w:val="Body text|1_"/>
    <w:basedOn w:val="DefaultParagraphFont"/>
    <w:link w:val="Bodytext10"/>
    <w:rsid w:val="005B13D0"/>
  </w:style>
  <w:style w:type="paragraph" w:customStyle="1" w:styleId="Bodytext10">
    <w:name w:val="Body text|1"/>
    <w:basedOn w:val="Normal"/>
    <w:link w:val="Bodytext1"/>
    <w:rsid w:val="005B13D0"/>
    <w:pPr>
      <w:widowControl w:val="0"/>
      <w:spacing w:after="180"/>
      <w:jc w:val="left"/>
    </w:pPr>
    <w:rPr>
      <w:rFonts w:asciiTheme="minorHAnsi" w:hAnsiTheme="minorHAnsi"/>
      <w:kern w:val="2"/>
      <w:szCs w:val="24"/>
      <w:lang/>
      <w14:ligatures w14:val="standardContextual"/>
    </w:rPr>
  </w:style>
  <w:style w:type="character" w:customStyle="1" w:styleId="WW8Num10z3">
    <w:name w:val="WW8Num10z3"/>
    <w:rsid w:val="005B13D0"/>
    <w:rPr>
      <w:rFonts w:ascii="Symbol" w:hAnsi="Symbol" w:cs="Symbol" w:hint="default"/>
    </w:rPr>
  </w:style>
  <w:style w:type="paragraph" w:customStyle="1" w:styleId="paragraph">
    <w:name w:val="paragraph"/>
    <w:basedOn w:val="Normal"/>
    <w:link w:val="paragraphChar"/>
    <w:qFormat/>
    <w:rsid w:val="005B13D0"/>
    <w:pPr>
      <w:spacing w:after="0"/>
    </w:pPr>
    <w:rPr>
      <w:rFonts w:eastAsia="Times New Roman" w:cs="Times New Roman"/>
      <w:snapToGrid w:val="0"/>
      <w:szCs w:val="24"/>
      <w:lang w:eastAsia="en-GB"/>
    </w:rPr>
  </w:style>
  <w:style w:type="character" w:customStyle="1" w:styleId="paragraphChar">
    <w:name w:val="paragraph Char"/>
    <w:link w:val="paragraph"/>
    <w:rsid w:val="005B13D0"/>
    <w:rPr>
      <w:rFonts w:ascii="Times New Roman" w:eastAsia="Times New Roman" w:hAnsi="Times New Roman" w:cs="Times New Roman"/>
      <w:snapToGrid w:val="0"/>
      <w:kern w:val="0"/>
      <w:lang w:val="en-GB" w:eastAsia="en-GB"/>
      <w14:ligatures w14:val="none"/>
    </w:rPr>
  </w:style>
  <w:style w:type="character" w:customStyle="1" w:styleId="Footnote1">
    <w:name w:val="Footnote|1_"/>
    <w:basedOn w:val="DefaultParagraphFont"/>
    <w:link w:val="Footnote10"/>
    <w:rsid w:val="005B13D0"/>
    <w:rPr>
      <w:sz w:val="20"/>
      <w:szCs w:val="20"/>
    </w:rPr>
  </w:style>
  <w:style w:type="character" w:customStyle="1" w:styleId="Other1">
    <w:name w:val="Other|1_"/>
    <w:basedOn w:val="DefaultParagraphFont"/>
    <w:link w:val="Other10"/>
    <w:rsid w:val="005B13D0"/>
  </w:style>
  <w:style w:type="character" w:customStyle="1" w:styleId="Headerorfooter2">
    <w:name w:val="Header or footer|2_"/>
    <w:basedOn w:val="DefaultParagraphFont"/>
    <w:link w:val="Headerorfooter20"/>
    <w:rsid w:val="005B13D0"/>
    <w:rPr>
      <w:sz w:val="20"/>
      <w:szCs w:val="20"/>
    </w:rPr>
  </w:style>
  <w:style w:type="character" w:customStyle="1" w:styleId="Heading31">
    <w:name w:val="Heading #3|1_"/>
    <w:basedOn w:val="DefaultParagraphFont"/>
    <w:link w:val="Heading310"/>
    <w:rsid w:val="005B13D0"/>
    <w:rPr>
      <w:b/>
      <w:bCs/>
    </w:rPr>
  </w:style>
  <w:style w:type="character" w:customStyle="1" w:styleId="Bodytext2">
    <w:name w:val="Body text|2_"/>
    <w:basedOn w:val="DefaultParagraphFont"/>
    <w:link w:val="Bodytext20"/>
    <w:rsid w:val="005B13D0"/>
    <w:rPr>
      <w:sz w:val="20"/>
      <w:szCs w:val="20"/>
    </w:rPr>
  </w:style>
  <w:style w:type="paragraph" w:customStyle="1" w:styleId="Footnote10">
    <w:name w:val="Footnote|1"/>
    <w:basedOn w:val="Normal"/>
    <w:link w:val="Footnote1"/>
    <w:rsid w:val="005B13D0"/>
    <w:pPr>
      <w:widowControl w:val="0"/>
      <w:spacing w:after="0"/>
      <w:ind w:left="380"/>
      <w:jc w:val="left"/>
    </w:pPr>
    <w:rPr>
      <w:rFonts w:asciiTheme="minorHAnsi" w:hAnsiTheme="minorHAnsi"/>
      <w:kern w:val="2"/>
      <w:sz w:val="20"/>
      <w:szCs w:val="20"/>
      <w:lang/>
      <w14:ligatures w14:val="standardContextual"/>
    </w:rPr>
  </w:style>
  <w:style w:type="paragraph" w:customStyle="1" w:styleId="Other10">
    <w:name w:val="Other|1"/>
    <w:basedOn w:val="Normal"/>
    <w:link w:val="Other1"/>
    <w:rsid w:val="005B13D0"/>
    <w:pPr>
      <w:widowControl w:val="0"/>
      <w:spacing w:after="180"/>
      <w:jc w:val="left"/>
    </w:pPr>
    <w:rPr>
      <w:rFonts w:asciiTheme="minorHAnsi" w:hAnsiTheme="minorHAnsi"/>
      <w:kern w:val="2"/>
      <w:szCs w:val="24"/>
      <w:lang/>
      <w14:ligatures w14:val="standardContextual"/>
    </w:rPr>
  </w:style>
  <w:style w:type="paragraph" w:customStyle="1" w:styleId="Headerorfooter20">
    <w:name w:val="Header or footer|2"/>
    <w:basedOn w:val="Normal"/>
    <w:link w:val="Headerorfooter2"/>
    <w:rsid w:val="005B13D0"/>
    <w:pPr>
      <w:widowControl w:val="0"/>
      <w:spacing w:after="0"/>
      <w:jc w:val="left"/>
    </w:pPr>
    <w:rPr>
      <w:rFonts w:asciiTheme="minorHAnsi" w:hAnsiTheme="minorHAnsi"/>
      <w:kern w:val="2"/>
      <w:sz w:val="20"/>
      <w:szCs w:val="20"/>
      <w:lang/>
      <w14:ligatures w14:val="standardContextual"/>
    </w:rPr>
  </w:style>
  <w:style w:type="paragraph" w:customStyle="1" w:styleId="Heading310">
    <w:name w:val="Heading #3|1"/>
    <w:basedOn w:val="Normal"/>
    <w:link w:val="Heading31"/>
    <w:rsid w:val="005B13D0"/>
    <w:pPr>
      <w:widowControl w:val="0"/>
      <w:spacing w:after="180"/>
      <w:jc w:val="left"/>
      <w:outlineLvl w:val="2"/>
    </w:pPr>
    <w:rPr>
      <w:rFonts w:asciiTheme="minorHAnsi" w:hAnsiTheme="minorHAnsi"/>
      <w:b/>
      <w:bCs/>
      <w:kern w:val="2"/>
      <w:szCs w:val="24"/>
      <w:lang/>
      <w14:ligatures w14:val="standardContextual"/>
    </w:rPr>
  </w:style>
  <w:style w:type="paragraph" w:customStyle="1" w:styleId="Bodytext20">
    <w:name w:val="Body text|2"/>
    <w:basedOn w:val="Normal"/>
    <w:link w:val="Bodytext2"/>
    <w:rsid w:val="005B13D0"/>
    <w:pPr>
      <w:widowControl w:val="0"/>
      <w:spacing w:after="100"/>
      <w:jc w:val="left"/>
    </w:pPr>
    <w:rPr>
      <w:rFonts w:asciiTheme="minorHAnsi" w:hAnsiTheme="minorHAnsi"/>
      <w:kern w:val="2"/>
      <w:sz w:val="20"/>
      <w:szCs w:val="20"/>
      <w:lang/>
      <w14:ligatures w14:val="standardContextual"/>
    </w:rPr>
  </w:style>
  <w:style w:type="character" w:customStyle="1" w:styleId="Heading41">
    <w:name w:val="Heading #4|1_"/>
    <w:basedOn w:val="DefaultParagraphFont"/>
    <w:link w:val="Heading410"/>
    <w:rsid w:val="005B13D0"/>
    <w:rPr>
      <w:b/>
      <w:bCs/>
    </w:rPr>
  </w:style>
  <w:style w:type="paragraph" w:customStyle="1" w:styleId="Heading410">
    <w:name w:val="Heading #4|1"/>
    <w:basedOn w:val="Normal"/>
    <w:link w:val="Heading41"/>
    <w:rsid w:val="005B13D0"/>
    <w:pPr>
      <w:widowControl w:val="0"/>
      <w:spacing w:after="180"/>
      <w:jc w:val="left"/>
      <w:outlineLvl w:val="3"/>
    </w:pPr>
    <w:rPr>
      <w:rFonts w:asciiTheme="minorHAnsi" w:hAnsiTheme="minorHAnsi"/>
      <w:b/>
      <w:bCs/>
      <w:kern w:val="2"/>
      <w:szCs w:val="24"/>
      <w:lang/>
      <w14:ligatures w14:val="standardContextual"/>
    </w:rPr>
  </w:style>
  <w:style w:type="character" w:customStyle="1" w:styleId="Headerorfooter1">
    <w:name w:val="Header or footer|1_"/>
    <w:basedOn w:val="DefaultParagraphFont"/>
    <w:link w:val="Headerorfooter10"/>
    <w:rsid w:val="005B13D0"/>
    <w:rPr>
      <w:sz w:val="20"/>
      <w:szCs w:val="20"/>
    </w:rPr>
  </w:style>
  <w:style w:type="paragraph" w:customStyle="1" w:styleId="Headerorfooter10">
    <w:name w:val="Header or footer|1"/>
    <w:basedOn w:val="Normal"/>
    <w:link w:val="Headerorfooter1"/>
    <w:rsid w:val="005B13D0"/>
    <w:pPr>
      <w:widowControl w:val="0"/>
      <w:spacing w:after="0"/>
      <w:jc w:val="right"/>
    </w:pPr>
    <w:rPr>
      <w:rFonts w:asciiTheme="minorHAnsi" w:hAnsiTheme="minorHAnsi"/>
      <w:kern w:val="2"/>
      <w:sz w:val="20"/>
      <w:szCs w:val="20"/>
      <w:lang/>
      <w14:ligatures w14:val="standardContextual"/>
    </w:rPr>
  </w:style>
  <w:style w:type="character" w:customStyle="1" w:styleId="Tablecaption1">
    <w:name w:val="Table caption|1_"/>
    <w:basedOn w:val="DefaultParagraphFont"/>
    <w:link w:val="Tablecaption10"/>
    <w:rsid w:val="005B13D0"/>
    <w:rPr>
      <w:rFonts w:ascii="Arial" w:eastAsia="Arial" w:hAnsi="Arial" w:cs="Arial"/>
      <w:b/>
      <w:bCs/>
      <w:sz w:val="8"/>
      <w:szCs w:val="8"/>
    </w:rPr>
  </w:style>
  <w:style w:type="paragraph" w:customStyle="1" w:styleId="Tablecaption10">
    <w:name w:val="Table caption|1"/>
    <w:basedOn w:val="Normal"/>
    <w:link w:val="Tablecaption1"/>
    <w:rsid w:val="005B13D0"/>
    <w:pPr>
      <w:widowControl w:val="0"/>
      <w:spacing w:after="0"/>
      <w:jc w:val="left"/>
    </w:pPr>
    <w:rPr>
      <w:rFonts w:ascii="Arial" w:eastAsia="Arial" w:hAnsi="Arial" w:cs="Arial"/>
      <w:b/>
      <w:bCs/>
      <w:kern w:val="2"/>
      <w:sz w:val="8"/>
      <w:szCs w:val="8"/>
      <w:lang/>
      <w14:ligatures w14:val="standardContextual"/>
    </w:rPr>
  </w:style>
  <w:style w:type="character" w:customStyle="1" w:styleId="Heading11">
    <w:name w:val="Heading #1|1_"/>
    <w:basedOn w:val="DefaultParagraphFont"/>
    <w:link w:val="Heading110"/>
    <w:rsid w:val="005B13D0"/>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13D0"/>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13D0"/>
    <w:rPr>
      <w:sz w:val="16"/>
      <w:szCs w:val="16"/>
    </w:rPr>
  </w:style>
  <w:style w:type="character" w:customStyle="1" w:styleId="Tableofcontents1">
    <w:name w:val="Table of contents|1_"/>
    <w:basedOn w:val="DefaultParagraphFont"/>
    <w:link w:val="Tableofcontents10"/>
    <w:rsid w:val="005B13D0"/>
    <w:rPr>
      <w:sz w:val="20"/>
      <w:szCs w:val="20"/>
    </w:rPr>
  </w:style>
  <w:style w:type="character" w:customStyle="1" w:styleId="Bodytext4">
    <w:name w:val="Body text|4_"/>
    <w:basedOn w:val="DefaultParagraphFont"/>
    <w:link w:val="Bodytext40"/>
    <w:rsid w:val="005B13D0"/>
    <w:rPr>
      <w:sz w:val="16"/>
      <w:szCs w:val="16"/>
    </w:rPr>
  </w:style>
  <w:style w:type="character" w:customStyle="1" w:styleId="Bodytext5">
    <w:name w:val="Body text|5_"/>
    <w:basedOn w:val="DefaultParagraphFont"/>
    <w:link w:val="Bodytext50"/>
    <w:rsid w:val="005B13D0"/>
    <w:rPr>
      <w:sz w:val="10"/>
      <w:szCs w:val="10"/>
    </w:rPr>
  </w:style>
  <w:style w:type="character" w:customStyle="1" w:styleId="Bodytext3">
    <w:name w:val="Body text|3_"/>
    <w:basedOn w:val="DefaultParagraphFont"/>
    <w:link w:val="Bodytext30"/>
    <w:rsid w:val="005B13D0"/>
    <w:rPr>
      <w:sz w:val="18"/>
      <w:szCs w:val="18"/>
    </w:rPr>
  </w:style>
  <w:style w:type="character" w:customStyle="1" w:styleId="Bodytext6">
    <w:name w:val="Body text|6_"/>
    <w:basedOn w:val="DefaultParagraphFont"/>
    <w:link w:val="Bodytext60"/>
    <w:rsid w:val="005B13D0"/>
    <w:rPr>
      <w:sz w:val="13"/>
      <w:szCs w:val="13"/>
    </w:rPr>
  </w:style>
  <w:style w:type="paragraph" w:customStyle="1" w:styleId="Heading110">
    <w:name w:val="Heading #1|1"/>
    <w:basedOn w:val="Normal"/>
    <w:link w:val="Heading11"/>
    <w:rsid w:val="005B13D0"/>
    <w:pPr>
      <w:widowControl w:val="0"/>
      <w:spacing w:after="520"/>
      <w:jc w:val="center"/>
      <w:outlineLvl w:val="0"/>
    </w:pPr>
    <w:rPr>
      <w:rFonts w:ascii="EC Square Sans Pro Light" w:eastAsia="EC Square Sans Pro Light" w:hAnsi="EC Square Sans Pro Light" w:cs="EC Square Sans Pro Light"/>
      <w:b/>
      <w:bCs/>
      <w:kern w:val="2"/>
      <w:sz w:val="48"/>
      <w:szCs w:val="48"/>
      <w:lang/>
      <w14:ligatures w14:val="standardContextual"/>
    </w:rPr>
  </w:style>
  <w:style w:type="paragraph" w:customStyle="1" w:styleId="Heading210">
    <w:name w:val="Heading #2|1"/>
    <w:basedOn w:val="Normal"/>
    <w:link w:val="Heading21"/>
    <w:rsid w:val="005B13D0"/>
    <w:pPr>
      <w:widowControl w:val="0"/>
      <w:spacing w:after="1840"/>
      <w:jc w:val="center"/>
      <w:outlineLvl w:val="1"/>
    </w:pPr>
    <w:rPr>
      <w:rFonts w:ascii="EC Square Sans Pro Light" w:eastAsia="EC Square Sans Pro Light" w:hAnsi="EC Square Sans Pro Light" w:cs="EC Square Sans Pro Light"/>
      <w:b/>
      <w:bCs/>
      <w:kern w:val="2"/>
      <w:sz w:val="30"/>
      <w:szCs w:val="30"/>
      <w:lang/>
      <w14:ligatures w14:val="standardContextual"/>
    </w:rPr>
  </w:style>
  <w:style w:type="paragraph" w:customStyle="1" w:styleId="Picturecaption10">
    <w:name w:val="Picture caption|1"/>
    <w:basedOn w:val="Normal"/>
    <w:link w:val="Picturecaption1"/>
    <w:rsid w:val="005B13D0"/>
    <w:pPr>
      <w:widowControl w:val="0"/>
      <w:spacing w:after="0"/>
      <w:jc w:val="left"/>
    </w:pPr>
    <w:rPr>
      <w:rFonts w:asciiTheme="minorHAnsi" w:hAnsiTheme="minorHAnsi"/>
      <w:kern w:val="2"/>
      <w:sz w:val="16"/>
      <w:szCs w:val="16"/>
      <w:lang/>
      <w14:ligatures w14:val="standardContextual"/>
    </w:rPr>
  </w:style>
  <w:style w:type="paragraph" w:customStyle="1" w:styleId="Tableofcontents10">
    <w:name w:val="Table of contents|1"/>
    <w:basedOn w:val="Normal"/>
    <w:link w:val="Tableofcontents1"/>
    <w:rsid w:val="005B13D0"/>
    <w:pPr>
      <w:widowControl w:val="0"/>
      <w:spacing w:after="40"/>
      <w:ind w:left="1580"/>
      <w:jc w:val="left"/>
    </w:pPr>
    <w:rPr>
      <w:rFonts w:asciiTheme="minorHAnsi" w:hAnsiTheme="minorHAnsi"/>
      <w:kern w:val="2"/>
      <w:sz w:val="20"/>
      <w:szCs w:val="20"/>
      <w:lang/>
      <w14:ligatures w14:val="standardContextual"/>
    </w:rPr>
  </w:style>
  <w:style w:type="paragraph" w:customStyle="1" w:styleId="Bodytext40">
    <w:name w:val="Body text|4"/>
    <w:basedOn w:val="Normal"/>
    <w:link w:val="Bodytext4"/>
    <w:rsid w:val="005B13D0"/>
    <w:pPr>
      <w:widowControl w:val="0"/>
      <w:spacing w:after="0" w:line="228" w:lineRule="auto"/>
      <w:ind w:left="740"/>
      <w:jc w:val="left"/>
    </w:pPr>
    <w:rPr>
      <w:rFonts w:asciiTheme="minorHAnsi" w:hAnsiTheme="minorHAnsi"/>
      <w:kern w:val="2"/>
      <w:sz w:val="16"/>
      <w:szCs w:val="16"/>
      <w:lang/>
      <w14:ligatures w14:val="standardContextual"/>
    </w:rPr>
  </w:style>
  <w:style w:type="paragraph" w:customStyle="1" w:styleId="Bodytext50">
    <w:name w:val="Body text|5"/>
    <w:basedOn w:val="Normal"/>
    <w:link w:val="Bodytext5"/>
    <w:rsid w:val="005B13D0"/>
    <w:pPr>
      <w:widowControl w:val="0"/>
      <w:spacing w:after="0"/>
      <w:jc w:val="left"/>
    </w:pPr>
    <w:rPr>
      <w:rFonts w:asciiTheme="minorHAnsi" w:hAnsiTheme="minorHAnsi"/>
      <w:kern w:val="2"/>
      <w:sz w:val="10"/>
      <w:szCs w:val="10"/>
      <w:lang/>
      <w14:ligatures w14:val="standardContextual"/>
    </w:rPr>
  </w:style>
  <w:style w:type="paragraph" w:customStyle="1" w:styleId="Bodytext30">
    <w:name w:val="Body text|3"/>
    <w:basedOn w:val="Normal"/>
    <w:link w:val="Bodytext3"/>
    <w:rsid w:val="005B13D0"/>
    <w:pPr>
      <w:widowControl w:val="0"/>
      <w:spacing w:after="100"/>
      <w:ind w:left="1100"/>
      <w:jc w:val="left"/>
    </w:pPr>
    <w:rPr>
      <w:rFonts w:asciiTheme="minorHAnsi" w:hAnsiTheme="minorHAnsi"/>
      <w:kern w:val="2"/>
      <w:sz w:val="18"/>
      <w:szCs w:val="18"/>
      <w:lang/>
      <w14:ligatures w14:val="standardContextual"/>
    </w:rPr>
  </w:style>
  <w:style w:type="paragraph" w:customStyle="1" w:styleId="Bodytext60">
    <w:name w:val="Body text|6"/>
    <w:basedOn w:val="Normal"/>
    <w:link w:val="Bodytext6"/>
    <w:rsid w:val="005B13D0"/>
    <w:pPr>
      <w:widowControl w:val="0"/>
      <w:spacing w:after="0"/>
      <w:jc w:val="left"/>
    </w:pPr>
    <w:rPr>
      <w:rFonts w:asciiTheme="minorHAnsi" w:hAnsiTheme="minorHAnsi"/>
      <w:kern w:val="2"/>
      <w:sz w:val="13"/>
      <w:szCs w:val="13"/>
      <w:lang/>
      <w14:ligatures w14:val="standardContextual"/>
    </w:rPr>
  </w:style>
  <w:style w:type="paragraph" w:customStyle="1" w:styleId="ZDGName">
    <w:name w:val="Z_DGName"/>
    <w:basedOn w:val="Normal"/>
    <w:uiPriority w:val="99"/>
    <w:rsid w:val="005B13D0"/>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5B13D0"/>
    <w:rPr>
      <w:vertAlign w:val="superscript"/>
    </w:rPr>
  </w:style>
  <w:style w:type="character" w:customStyle="1" w:styleId="markedcontent">
    <w:name w:val="markedcontent"/>
    <w:basedOn w:val="DefaultParagraphFont"/>
    <w:rsid w:val="005B13D0"/>
  </w:style>
  <w:style w:type="numbering" w:customStyle="1" w:styleId="NoList3">
    <w:name w:val="No List3"/>
    <w:next w:val="NoList"/>
    <w:uiPriority w:val="99"/>
    <w:semiHidden/>
    <w:unhideWhenUsed/>
    <w:rsid w:val="005B13D0"/>
  </w:style>
  <w:style w:type="character" w:customStyle="1" w:styleId="FootnoteReference1">
    <w:name w:val="Footnote Reference1"/>
    <w:rsid w:val="005B13D0"/>
    <w:rPr>
      <w:vertAlign w:val="superscript"/>
    </w:rPr>
  </w:style>
  <w:style w:type="character" w:customStyle="1" w:styleId="CommentReference1">
    <w:name w:val="Comment Reference1"/>
    <w:rsid w:val="005B13D0"/>
    <w:rPr>
      <w:sz w:val="16"/>
      <w:szCs w:val="16"/>
    </w:rPr>
  </w:style>
  <w:style w:type="character" w:customStyle="1" w:styleId="ListLabel1">
    <w:name w:val="ListLabel 1"/>
    <w:rsid w:val="005B13D0"/>
    <w:rPr>
      <w:rFonts w:cs="Courier New"/>
    </w:rPr>
  </w:style>
  <w:style w:type="character" w:customStyle="1" w:styleId="ListLabel2">
    <w:name w:val="ListLabel 2"/>
    <w:rsid w:val="005B13D0"/>
    <w:rPr>
      <w:rFonts w:eastAsia="Calibri" w:cs="Calibri"/>
    </w:rPr>
  </w:style>
  <w:style w:type="character" w:customStyle="1" w:styleId="ListLabel3">
    <w:name w:val="ListLabel 3"/>
    <w:rsid w:val="005B13D0"/>
    <w:rPr>
      <w:sz w:val="24"/>
      <w:szCs w:val="24"/>
    </w:rPr>
  </w:style>
  <w:style w:type="character" w:customStyle="1" w:styleId="Caracteresdenotaalpie">
    <w:name w:val="Caracteres de nota al pie"/>
    <w:rsid w:val="005B13D0"/>
  </w:style>
  <w:style w:type="character" w:styleId="EndnoteReference">
    <w:name w:val="endnote reference"/>
    <w:rsid w:val="005B13D0"/>
    <w:rPr>
      <w:vertAlign w:val="superscript"/>
    </w:rPr>
  </w:style>
  <w:style w:type="character" w:customStyle="1" w:styleId="Caracteresdenotafinal">
    <w:name w:val="Caracteres de nota final"/>
    <w:rsid w:val="005B13D0"/>
  </w:style>
  <w:style w:type="paragraph" w:customStyle="1" w:styleId="Encabezado">
    <w:name w:val="Encabezado"/>
    <w:basedOn w:val="Normal"/>
    <w:next w:val="BodyText"/>
    <w:rsid w:val="005B13D0"/>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B13D0"/>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B13D0"/>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B13D0"/>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B13D0"/>
    <w:rPr>
      <w:rFonts w:ascii="Calibri" w:eastAsia="Calibri" w:hAnsi="Calibri"/>
      <w:sz w:val="22"/>
      <w:szCs w:val="22"/>
      <w:lang w:eastAsia="ar-SA"/>
    </w:rPr>
  </w:style>
  <w:style w:type="character" w:customStyle="1" w:styleId="FooterChar1">
    <w:name w:val="Footer Char1"/>
    <w:basedOn w:val="DefaultParagraphFont"/>
    <w:uiPriority w:val="99"/>
    <w:rsid w:val="005B13D0"/>
    <w:rPr>
      <w:rFonts w:ascii="Calibri" w:eastAsia="Calibri" w:hAnsi="Calibri"/>
      <w:sz w:val="22"/>
      <w:szCs w:val="22"/>
      <w:lang w:eastAsia="ar-SA"/>
    </w:rPr>
  </w:style>
  <w:style w:type="character" w:customStyle="1" w:styleId="BalloonTextChar1">
    <w:name w:val="Balloon Text Char1"/>
    <w:basedOn w:val="DefaultParagraphFont"/>
    <w:rsid w:val="005B13D0"/>
    <w:rPr>
      <w:rFonts w:ascii="Tahoma" w:eastAsia="Calibri" w:hAnsi="Tahoma" w:cs="Tahoma"/>
      <w:sz w:val="16"/>
      <w:szCs w:val="16"/>
      <w:lang w:eastAsia="ar-SA"/>
    </w:rPr>
  </w:style>
  <w:style w:type="paragraph" w:customStyle="1" w:styleId="FootnoteText1">
    <w:name w:val="Footnote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B13D0"/>
    <w:rPr>
      <w:b/>
      <w:bCs/>
    </w:rPr>
  </w:style>
  <w:style w:type="paragraph" w:customStyle="1" w:styleId="Guide-Normal">
    <w:name w:val="Guide - Normal"/>
    <w:basedOn w:val="Normal"/>
    <w:rsid w:val="005B13D0"/>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B13D0"/>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B13D0"/>
    <w:rPr>
      <w:rFonts w:ascii="Calibri" w:eastAsia="Calibri" w:hAnsi="Calibri"/>
      <w:lang w:eastAsia="ar-SA"/>
    </w:rPr>
  </w:style>
  <w:style w:type="character" w:customStyle="1" w:styleId="CommentSubjectChar1">
    <w:name w:val="Comment Subject Char1"/>
    <w:basedOn w:val="CommentTextChar1"/>
    <w:uiPriority w:val="99"/>
    <w:semiHidden/>
    <w:rsid w:val="005B13D0"/>
    <w:rPr>
      <w:rFonts w:ascii="Calibri" w:eastAsia="Calibri" w:hAnsi="Calibri"/>
      <w:b/>
      <w:bCs/>
      <w:lang w:eastAsia="ar-SA"/>
    </w:rPr>
  </w:style>
  <w:style w:type="paragraph" w:customStyle="1" w:styleId="Heading10">
    <w:name w:val="Heading1"/>
    <w:basedOn w:val="ListBullet"/>
    <w:link w:val="Heading1Char0"/>
    <w:qFormat/>
    <w:rsid w:val="005B13D0"/>
    <w:pPr>
      <w:numPr>
        <w:numId w:val="0"/>
      </w:numPr>
      <w:suppressAutoHyphens/>
      <w:spacing w:line="100" w:lineRule="atLeast"/>
    </w:pPr>
    <w:rPr>
      <w:b/>
      <w:bCs/>
      <w:lang w:val="en-US"/>
    </w:rPr>
  </w:style>
  <w:style w:type="paragraph" w:customStyle="1" w:styleId="Heading211">
    <w:name w:val="Heading 21"/>
    <w:basedOn w:val="Heading10"/>
    <w:qFormat/>
    <w:rsid w:val="005B13D0"/>
    <w:pPr>
      <w:spacing w:before="240"/>
    </w:pPr>
  </w:style>
  <w:style w:type="character" w:customStyle="1" w:styleId="ListBulletChar">
    <w:name w:val="List Bullet Char"/>
    <w:basedOn w:val="DefaultParagraphFont"/>
    <w:link w:val="ListBullet"/>
    <w:rsid w:val="005B13D0"/>
    <w:rPr>
      <w:rFonts w:ascii="Times New Roman" w:eastAsia="Times New Roman" w:hAnsi="Times New Roman" w:cs="Times New Roman"/>
      <w:kern w:val="0"/>
      <w:szCs w:val="20"/>
      <w:lang w:val="en-GB"/>
      <w14:ligatures w14:val="none"/>
    </w:rPr>
  </w:style>
  <w:style w:type="character" w:customStyle="1" w:styleId="Heading1Char0">
    <w:name w:val="Heading1 Char"/>
    <w:basedOn w:val="ListBulletChar"/>
    <w:link w:val="Heading10"/>
    <w:rsid w:val="005B13D0"/>
    <w:rPr>
      <w:rFonts w:ascii="Times New Roman" w:eastAsia="Times New Roman" w:hAnsi="Times New Roman" w:cs="Times New Roman"/>
      <w:b/>
      <w:bCs/>
      <w:kern w:val="0"/>
      <w:szCs w:val="20"/>
      <w:lang w:val="en-US"/>
      <w14:ligatures w14:val="none"/>
    </w:rPr>
  </w:style>
  <w:style w:type="character" w:customStyle="1" w:styleId="Heading1Char1">
    <w:name w:val="Heading 1 Char1"/>
    <w:basedOn w:val="DefaultParagraphFont"/>
    <w:rsid w:val="005B13D0"/>
    <w:rPr>
      <w:rFonts w:eastAsia="Calibri"/>
      <w:b/>
      <w:bCs/>
      <w:sz w:val="24"/>
      <w:szCs w:val="28"/>
      <w:lang w:eastAsia="ar-SA"/>
    </w:rPr>
  </w:style>
  <w:style w:type="paragraph" w:styleId="NoSpacing">
    <w:name w:val="No Spacing"/>
    <w:uiPriority w:val="1"/>
    <w:qFormat/>
    <w:rsid w:val="005B13D0"/>
    <w:pPr>
      <w:suppressAutoHyphens/>
      <w:spacing w:after="0" w:line="240" w:lineRule="auto"/>
    </w:pPr>
    <w:rPr>
      <w:rFonts w:ascii="Calibri" w:eastAsia="Calibri" w:hAnsi="Calibri" w:cs="Times New Roman"/>
      <w:kern w:val="0"/>
      <w:sz w:val="22"/>
      <w:szCs w:val="22"/>
      <w:lang w:val="en-GB" w:eastAsia="ar-SA"/>
      <w14:ligatures w14:val="none"/>
    </w:rPr>
  </w:style>
  <w:style w:type="character" w:customStyle="1" w:styleId="see-footnote">
    <w:name w:val="see-footnote"/>
    <w:basedOn w:val="DefaultParagraphFont"/>
    <w:rsid w:val="005B13D0"/>
  </w:style>
  <w:style w:type="table" w:customStyle="1" w:styleId="TableGrid4">
    <w:name w:val="Table Grid4"/>
    <w:basedOn w:val="TableNormal"/>
    <w:next w:val="TableGrid"/>
    <w:uiPriority w:val="59"/>
    <w:rsid w:val="005B13D0"/>
    <w:pPr>
      <w:spacing w:after="0" w:line="240" w:lineRule="auto"/>
    </w:pPr>
    <w:rPr>
      <w:kern w:val="0"/>
      <w:sz w:val="22"/>
      <w:szCs w:val="22"/>
      <w:lang w:val="en-GB"/>
      <w14:ligatures w14:val="none"/>
    </w:rPr>
    <w:tblPr/>
  </w:style>
  <w:style w:type="table" w:customStyle="1" w:styleId="TableGrid5">
    <w:name w:val="Table Grid5"/>
    <w:basedOn w:val="TableNormal"/>
    <w:next w:val="TableGrid"/>
    <w:uiPriority w:val="59"/>
    <w:rsid w:val="005B13D0"/>
    <w:pPr>
      <w:spacing w:after="0" w:line="240" w:lineRule="auto"/>
    </w:pPr>
    <w:rPr>
      <w:kern w:val="0"/>
      <w:sz w:val="22"/>
      <w:szCs w:val="22"/>
      <w:lang w:val="en-GB"/>
      <w14:ligatures w14:val="none"/>
    </w:rPr>
    <w:tblPr/>
  </w:style>
  <w:style w:type="character" w:customStyle="1" w:styleId="hgkelc">
    <w:name w:val="hgkelc"/>
    <w:basedOn w:val="DefaultParagraphFont"/>
    <w:rsid w:val="005B13D0"/>
  </w:style>
  <w:style w:type="character" w:styleId="UnresolvedMention">
    <w:name w:val="Unresolved Mention"/>
    <w:basedOn w:val="DefaultParagraphFont"/>
    <w:uiPriority w:val="99"/>
    <w:unhideWhenUsed/>
    <w:rsid w:val="005B13D0"/>
    <w:rPr>
      <w:color w:val="605E5C"/>
      <w:shd w:val="clear" w:color="auto" w:fill="E1DFDD"/>
    </w:rPr>
  </w:style>
  <w:style w:type="character" w:styleId="Mention">
    <w:name w:val="Mention"/>
    <w:basedOn w:val="DefaultParagraphFont"/>
    <w:uiPriority w:val="99"/>
    <w:unhideWhenUsed/>
    <w:rsid w:val="005B13D0"/>
    <w:rPr>
      <w:color w:val="2B579A"/>
      <w:shd w:val="clear" w:color="auto" w:fill="E6E6E6"/>
    </w:rPr>
  </w:style>
  <w:style w:type="character" w:customStyle="1" w:styleId="WW8Num2z2">
    <w:name w:val="WW8Num2z2"/>
    <w:rsid w:val="005B13D0"/>
    <w:rPr>
      <w:rFonts w:ascii="Wingdings" w:hAnsi="Wingdings" w:cs="Wingdings" w:hint="default"/>
    </w:rPr>
  </w:style>
  <w:style w:type="paragraph" w:styleId="EndnoteText">
    <w:name w:val="endnote text"/>
    <w:basedOn w:val="Normal"/>
    <w:link w:val="EndnoteTextChar"/>
    <w:uiPriority w:val="99"/>
    <w:semiHidden/>
    <w:unhideWhenUsed/>
    <w:rsid w:val="005B13D0"/>
    <w:pPr>
      <w:spacing w:after="0"/>
    </w:pPr>
    <w:rPr>
      <w:sz w:val="20"/>
      <w:szCs w:val="20"/>
    </w:rPr>
  </w:style>
  <w:style w:type="character" w:customStyle="1" w:styleId="EndnoteTextChar">
    <w:name w:val="Endnote Text Char"/>
    <w:basedOn w:val="DefaultParagraphFont"/>
    <w:link w:val="EndnoteText"/>
    <w:uiPriority w:val="99"/>
    <w:semiHidden/>
    <w:rsid w:val="005B13D0"/>
    <w:rPr>
      <w:rFonts w:ascii="Times New Roman" w:hAnsi="Times New Roman"/>
      <w:kern w:val="0"/>
      <w:sz w:val="20"/>
      <w:szCs w:val="20"/>
      <w:lang w:val="en-GB"/>
      <w14:ligatures w14:val="none"/>
    </w:rPr>
  </w:style>
  <w:style w:type="character" w:customStyle="1" w:styleId="cf01">
    <w:name w:val="cf01"/>
    <w:basedOn w:val="DefaultParagraphFont"/>
    <w:rsid w:val="005B13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proje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funding-tenders/managing-your-project/communicating-and-raising-eu-visibility_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3593</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Leonidou</dc:creator>
  <cp:keywords/>
  <dc:description/>
  <cp:lastModifiedBy>Maria  Hadjigeorgiou</cp:lastModifiedBy>
  <cp:revision>13</cp:revision>
  <dcterms:created xsi:type="dcterms:W3CDTF">2026-04-21T06:12:00Z</dcterms:created>
  <dcterms:modified xsi:type="dcterms:W3CDTF">2026-07-01T09:14:00Z</dcterms:modified>
</cp:coreProperties>
</file>