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B12BB1" w:rsidRPr="00076AA9" w14:paraId="605E90CD" w14:textId="77777777" w:rsidTr="0071139A">
        <w:trPr>
          <w:trHeight w:val="983"/>
        </w:trPr>
        <w:tc>
          <w:tcPr>
            <w:tcW w:w="9350" w:type="dxa"/>
            <w:tcBorders>
              <w:top w:val="single" w:sz="4" w:space="0" w:color="auto"/>
              <w:left w:val="single" w:sz="4" w:space="0" w:color="auto"/>
              <w:bottom w:val="single" w:sz="4" w:space="0" w:color="auto"/>
              <w:right w:val="single" w:sz="4" w:space="0" w:color="auto"/>
            </w:tcBorders>
            <w:shd w:val="clear" w:color="auto" w:fill="FFF2CC"/>
            <w:noWrap/>
            <w:vAlign w:val="center"/>
            <w:hideMark/>
          </w:tcPr>
          <w:p w14:paraId="708CB091" w14:textId="2F231FBB" w:rsidR="00B12BB1" w:rsidRPr="00076AA9" w:rsidRDefault="00B12BB1" w:rsidP="00B12BB1">
            <w:pPr>
              <w:jc w:val="center"/>
              <w:rPr>
                <w:sz w:val="22"/>
                <w:szCs w:val="22"/>
                <w:lang w:val="el-GR"/>
              </w:rPr>
            </w:pPr>
            <w:r w:rsidRPr="00B12BB1">
              <w:rPr>
                <w:b/>
                <w:bCs/>
                <w:sz w:val="22"/>
                <w:szCs w:val="22"/>
                <w:lang w:val="el-GR"/>
              </w:rPr>
              <w:t>ΟΔΗΓΙΕΣ ΣΥΜΠΛΗΡΩΣΗΣ ΑΙΤΗΣΗΣ ΓΙΑ ΠΡΟΣΘΕΤΗ ΧΡΗΜΑΤΟΔΟΤΗΣΗ ΓΙΑ ΕΞΟΔΑ ΣΥΜΠΕΡΙΛΗΨΗΣ ΓΙΑ ΣΥΜΜΕΤΕΧΟΝΤΕΣ</w:t>
            </w:r>
            <w:r w:rsidR="00076AA9" w:rsidRPr="00076AA9">
              <w:rPr>
                <w:b/>
                <w:bCs/>
                <w:sz w:val="22"/>
                <w:szCs w:val="22"/>
                <w:lang w:val="el-GR"/>
              </w:rPr>
              <w:t xml:space="preserve"> (</w:t>
            </w:r>
            <w:r w:rsidR="00076AA9">
              <w:rPr>
                <w:b/>
                <w:bCs/>
                <w:sz w:val="22"/>
                <w:szCs w:val="22"/>
              </w:rPr>
              <w:t>KA</w:t>
            </w:r>
            <w:r w:rsidR="00076AA9" w:rsidRPr="00076AA9">
              <w:rPr>
                <w:b/>
                <w:bCs/>
                <w:sz w:val="22"/>
                <w:szCs w:val="22"/>
                <w:lang w:val="el-GR"/>
              </w:rPr>
              <w:t xml:space="preserve">131 </w:t>
            </w:r>
            <w:r w:rsidR="00076AA9">
              <w:rPr>
                <w:b/>
                <w:bCs/>
                <w:sz w:val="22"/>
                <w:szCs w:val="22"/>
              </w:rPr>
              <w:t>KAI</w:t>
            </w:r>
            <w:r w:rsidR="00076AA9" w:rsidRPr="00076AA9">
              <w:rPr>
                <w:b/>
                <w:bCs/>
                <w:sz w:val="22"/>
                <w:szCs w:val="22"/>
                <w:lang w:val="el-GR"/>
              </w:rPr>
              <w:t xml:space="preserve"> </w:t>
            </w:r>
            <w:r w:rsidR="00076AA9">
              <w:rPr>
                <w:b/>
                <w:bCs/>
                <w:sz w:val="22"/>
                <w:szCs w:val="22"/>
              </w:rPr>
              <w:t>KA</w:t>
            </w:r>
            <w:r w:rsidR="00076AA9" w:rsidRPr="00076AA9">
              <w:rPr>
                <w:b/>
                <w:bCs/>
                <w:sz w:val="22"/>
                <w:szCs w:val="22"/>
                <w:lang w:val="el-GR"/>
              </w:rPr>
              <w:t>171)</w:t>
            </w:r>
          </w:p>
        </w:tc>
      </w:tr>
      <w:tr w:rsidR="00B12BB1" w:rsidRPr="00076AA9" w14:paraId="5F7AC274" w14:textId="77777777" w:rsidTr="0071139A">
        <w:trPr>
          <w:trHeight w:val="1658"/>
        </w:trPr>
        <w:tc>
          <w:tcPr>
            <w:tcW w:w="9350" w:type="dxa"/>
            <w:tcBorders>
              <w:top w:val="single" w:sz="4" w:space="0" w:color="auto"/>
              <w:left w:val="single" w:sz="4" w:space="0" w:color="auto"/>
              <w:bottom w:val="single" w:sz="4" w:space="0" w:color="auto"/>
              <w:right w:val="single" w:sz="4" w:space="0" w:color="auto"/>
            </w:tcBorders>
            <w:vAlign w:val="center"/>
            <w:hideMark/>
          </w:tcPr>
          <w:p w14:paraId="26E5F87E" w14:textId="48F58CB6" w:rsidR="00B12BB1" w:rsidRPr="00B12BB1" w:rsidRDefault="00B12BB1" w:rsidP="00B12BB1">
            <w:pPr>
              <w:rPr>
                <w:sz w:val="22"/>
                <w:szCs w:val="22"/>
                <w:lang w:val="el-GR"/>
              </w:rPr>
            </w:pPr>
            <w:r w:rsidRPr="00B12BB1">
              <w:rPr>
                <w:sz w:val="22"/>
                <w:szCs w:val="22"/>
                <w:lang w:val="el-GR"/>
              </w:rPr>
              <w:t>1. Τα ΙΤΕ έχουν τη δυνατότητα να μεταφέρουν όσα χρήματα επιθυμούν από άλλες κατηγορίες εξόδων προς τις κατηγορίες “</w:t>
            </w:r>
            <w:r w:rsidRPr="00B12BB1">
              <w:rPr>
                <w:sz w:val="22"/>
                <w:szCs w:val="22"/>
              </w:rPr>
              <w:t>Inclusion Support for Participants</w:t>
            </w:r>
            <w:r w:rsidRPr="00B12BB1">
              <w:rPr>
                <w:sz w:val="22"/>
                <w:szCs w:val="22"/>
                <w:lang w:val="el-GR"/>
              </w:rPr>
              <w:t xml:space="preserve">” (αποζημίωση 100% στη βάση πραγματικού κόστους). </w:t>
            </w:r>
            <w:r w:rsidRPr="00B12BB1">
              <w:rPr>
                <w:sz w:val="22"/>
                <w:szCs w:val="22"/>
              </w:rPr>
              <w:t> </w:t>
            </w:r>
            <w:r w:rsidRPr="00B12BB1">
              <w:rPr>
                <w:sz w:val="22"/>
                <w:szCs w:val="22"/>
                <w:lang w:val="el-GR"/>
              </w:rPr>
              <w:t>Επίσης,</w:t>
            </w:r>
            <w:r w:rsidRPr="00B12BB1">
              <w:rPr>
                <w:sz w:val="22"/>
                <w:szCs w:val="22"/>
              </w:rPr>
              <w:t> </w:t>
            </w:r>
            <w:r w:rsidRPr="00B12BB1">
              <w:rPr>
                <w:sz w:val="22"/>
                <w:szCs w:val="22"/>
                <w:lang w:val="el-GR"/>
              </w:rPr>
              <w:t xml:space="preserve"> για τους συμμετέχοντες με λιγότερες ευκαιρίες υπάρχει η δυνατότητα της διεκδίκησης του συμπληρωματικού ποσού που δίνεται ως μέρος των εξόδων διαβίωσης (</w:t>
            </w:r>
            <w:r w:rsidRPr="00B12BB1">
              <w:rPr>
                <w:sz w:val="22"/>
                <w:szCs w:val="22"/>
              </w:rPr>
              <w:t>top</w:t>
            </w:r>
            <w:r w:rsidRPr="00B12BB1">
              <w:rPr>
                <w:sz w:val="22"/>
                <w:szCs w:val="22"/>
                <w:lang w:val="el-GR"/>
              </w:rPr>
              <w:t xml:space="preserve"> </w:t>
            </w:r>
            <w:r w:rsidRPr="00B12BB1">
              <w:rPr>
                <w:sz w:val="22"/>
                <w:szCs w:val="22"/>
              </w:rPr>
              <w:t>up</w:t>
            </w:r>
            <w:r w:rsidRPr="00B12BB1">
              <w:rPr>
                <w:sz w:val="22"/>
                <w:szCs w:val="22"/>
                <w:lang w:val="el-GR"/>
              </w:rPr>
              <w:t xml:space="preserve"> </w:t>
            </w:r>
            <w:r w:rsidRPr="00B12BB1">
              <w:rPr>
                <w:sz w:val="22"/>
                <w:szCs w:val="22"/>
              </w:rPr>
              <w:t>to</w:t>
            </w:r>
            <w:r w:rsidRPr="00B12BB1">
              <w:rPr>
                <w:sz w:val="22"/>
                <w:szCs w:val="22"/>
                <w:lang w:val="el-GR"/>
              </w:rPr>
              <w:t xml:space="preserve"> </w:t>
            </w:r>
            <w:r w:rsidRPr="00B12BB1">
              <w:rPr>
                <w:sz w:val="22"/>
                <w:szCs w:val="22"/>
              </w:rPr>
              <w:t>individual</w:t>
            </w:r>
            <w:r w:rsidRPr="00B12BB1">
              <w:rPr>
                <w:sz w:val="22"/>
                <w:szCs w:val="22"/>
                <w:lang w:val="el-GR"/>
              </w:rPr>
              <w:t xml:space="preserve"> </w:t>
            </w:r>
            <w:r w:rsidRPr="00B12BB1">
              <w:rPr>
                <w:sz w:val="22"/>
                <w:szCs w:val="22"/>
              </w:rPr>
              <w:t>support</w:t>
            </w:r>
            <w:r w:rsidRPr="00B12BB1">
              <w:rPr>
                <w:sz w:val="22"/>
                <w:szCs w:val="22"/>
                <w:lang w:val="el-GR"/>
              </w:rPr>
              <w:t xml:space="preserve">), </w:t>
            </w:r>
            <w:r w:rsidRPr="00B12BB1">
              <w:rPr>
                <w:b/>
                <w:bCs/>
                <w:sz w:val="22"/>
                <w:szCs w:val="22"/>
                <w:u w:val="single"/>
                <w:lang w:val="el-GR"/>
              </w:rPr>
              <w:t xml:space="preserve">επομένως, </w:t>
            </w:r>
            <w:r w:rsidRPr="00B12BB1">
              <w:rPr>
                <w:b/>
                <w:bCs/>
                <w:color w:val="EE0000"/>
                <w:sz w:val="22"/>
                <w:szCs w:val="22"/>
                <w:u w:val="single"/>
                <w:lang w:val="el-GR"/>
              </w:rPr>
              <w:t>το Έντυπο συμπληρώνεται ΜΟΝΟ</w:t>
            </w:r>
            <w:r w:rsidRPr="00B12BB1">
              <w:rPr>
                <w:b/>
                <w:bCs/>
                <w:color w:val="EE0000"/>
                <w:sz w:val="22"/>
                <w:szCs w:val="22"/>
                <w:u w:val="single"/>
              </w:rPr>
              <w:t> </w:t>
            </w:r>
            <w:r w:rsidRPr="00B12BB1">
              <w:rPr>
                <w:b/>
                <w:bCs/>
                <w:color w:val="EE0000"/>
                <w:sz w:val="22"/>
                <w:szCs w:val="22"/>
                <w:u w:val="single"/>
                <w:lang w:val="el-GR"/>
              </w:rPr>
              <w:t>εφόσον υπάρχουν έξοδα που δεν μπορούν να καλυφθούν με τη χρήση ενός εκ των δύο/των δύο πιο πάνω μηχανισμών και απαιτεί υπογραφή από τον νόμιμο εκπρόσωπο.</w:t>
            </w:r>
          </w:p>
        </w:tc>
      </w:tr>
      <w:tr w:rsidR="00B12BB1" w:rsidRPr="00076AA9" w14:paraId="49A5E32E" w14:textId="77777777" w:rsidTr="0071139A">
        <w:trPr>
          <w:trHeight w:val="2040"/>
        </w:trPr>
        <w:tc>
          <w:tcPr>
            <w:tcW w:w="9350" w:type="dxa"/>
            <w:tcBorders>
              <w:top w:val="single" w:sz="4" w:space="0" w:color="auto"/>
              <w:left w:val="single" w:sz="4" w:space="0" w:color="auto"/>
              <w:bottom w:val="single" w:sz="4" w:space="0" w:color="auto"/>
              <w:right w:val="single" w:sz="4" w:space="0" w:color="auto"/>
            </w:tcBorders>
            <w:vAlign w:val="center"/>
            <w:hideMark/>
          </w:tcPr>
          <w:p w14:paraId="0382BD54" w14:textId="77777777" w:rsidR="00B12BB1" w:rsidRPr="00B12BB1" w:rsidRDefault="00B12BB1" w:rsidP="00B12BB1">
            <w:pPr>
              <w:rPr>
                <w:sz w:val="22"/>
                <w:szCs w:val="22"/>
                <w:lang w:val="el-GR"/>
              </w:rPr>
            </w:pPr>
            <w:r w:rsidRPr="00B12BB1">
              <w:rPr>
                <w:b/>
                <w:bCs/>
                <w:sz w:val="22"/>
                <w:szCs w:val="22"/>
                <w:u w:val="single"/>
                <w:lang w:val="el-GR"/>
              </w:rPr>
              <w:t>2. ΣΥΜΠΛΗΡΩΜΑΤΙΚΑ ΠΟΣΑ (</w:t>
            </w:r>
            <w:r w:rsidRPr="00B12BB1">
              <w:rPr>
                <w:b/>
                <w:bCs/>
                <w:sz w:val="22"/>
                <w:szCs w:val="22"/>
                <w:u w:val="single"/>
              </w:rPr>
              <w:t>TOP</w:t>
            </w:r>
            <w:r w:rsidRPr="00B12BB1">
              <w:rPr>
                <w:b/>
                <w:bCs/>
                <w:sz w:val="22"/>
                <w:szCs w:val="22"/>
                <w:u w:val="single"/>
                <w:lang w:val="el-GR"/>
              </w:rPr>
              <w:t>-</w:t>
            </w:r>
            <w:r w:rsidRPr="00B12BB1">
              <w:rPr>
                <w:b/>
                <w:bCs/>
                <w:sz w:val="22"/>
                <w:szCs w:val="22"/>
                <w:u w:val="single"/>
              </w:rPr>
              <w:t>UPS</w:t>
            </w:r>
            <w:r w:rsidRPr="00B12BB1">
              <w:rPr>
                <w:b/>
                <w:bCs/>
                <w:sz w:val="22"/>
                <w:szCs w:val="22"/>
                <w:u w:val="single"/>
                <w:lang w:val="el-GR"/>
              </w:rPr>
              <w:t>) ΓΙΑ ΦΟΙΤΗΤΕΣ/ΦΟΙΤΗΤΡΙΕΣ ΜΕ ΛΙΓΟΤΕΡΕΣ ΕΥΚΑΙΡΙΕΣ</w:t>
            </w:r>
            <w:r w:rsidRPr="00B12BB1">
              <w:rPr>
                <w:sz w:val="22"/>
                <w:szCs w:val="22"/>
                <w:lang w:val="el-GR"/>
              </w:rPr>
              <w:br/>
              <w:t xml:space="preserve">Το ποσό </w:t>
            </w:r>
            <w:r w:rsidRPr="00B12BB1">
              <w:rPr>
                <w:sz w:val="22"/>
                <w:szCs w:val="22"/>
              </w:rPr>
              <w:t>top</w:t>
            </w:r>
            <w:r w:rsidRPr="00B12BB1">
              <w:rPr>
                <w:sz w:val="22"/>
                <w:szCs w:val="22"/>
                <w:lang w:val="el-GR"/>
              </w:rPr>
              <w:t>-</w:t>
            </w:r>
            <w:r w:rsidRPr="00B12BB1">
              <w:rPr>
                <w:sz w:val="22"/>
                <w:szCs w:val="22"/>
              </w:rPr>
              <w:t>up</w:t>
            </w:r>
            <w:r w:rsidRPr="00B12BB1">
              <w:rPr>
                <w:sz w:val="22"/>
                <w:szCs w:val="22"/>
                <w:lang w:val="el-GR"/>
              </w:rPr>
              <w:t xml:space="preserve"> για φοιτητές/φοιτήτριες και πρόσφατους απόφοιτους με λιγότερες ευκαιρίες αποτελεί επιπλέον ενίσχυση στην ατομική υποστήριξη (</w:t>
            </w:r>
            <w:r w:rsidRPr="00B12BB1">
              <w:rPr>
                <w:sz w:val="22"/>
                <w:szCs w:val="22"/>
              </w:rPr>
              <w:t>individual</w:t>
            </w:r>
            <w:r w:rsidRPr="00B12BB1">
              <w:rPr>
                <w:sz w:val="22"/>
                <w:szCs w:val="22"/>
                <w:lang w:val="el-GR"/>
              </w:rPr>
              <w:t xml:space="preserve"> </w:t>
            </w:r>
            <w:r w:rsidRPr="00B12BB1">
              <w:rPr>
                <w:sz w:val="22"/>
                <w:szCs w:val="22"/>
              </w:rPr>
              <w:t>support</w:t>
            </w:r>
            <w:r w:rsidRPr="00B12BB1">
              <w:rPr>
                <w:sz w:val="22"/>
                <w:szCs w:val="22"/>
                <w:lang w:val="el-GR"/>
              </w:rPr>
              <w:t xml:space="preserve">). Το ποσό αυτό δε βασίζεται σε πραγματικά κόστη και πρέπει να καλύπτει διαφορετικά έξοδα από αυτά που καλύπτονται από την κατηγορία </w:t>
            </w:r>
            <w:r w:rsidRPr="00B12BB1">
              <w:rPr>
                <w:sz w:val="22"/>
                <w:szCs w:val="22"/>
              </w:rPr>
              <w:t>Inclusion</w:t>
            </w:r>
            <w:r w:rsidRPr="00B12BB1">
              <w:rPr>
                <w:sz w:val="22"/>
                <w:szCs w:val="22"/>
                <w:lang w:val="el-GR"/>
              </w:rPr>
              <w:t xml:space="preserve"> </w:t>
            </w:r>
            <w:r w:rsidRPr="00B12BB1">
              <w:rPr>
                <w:sz w:val="22"/>
                <w:szCs w:val="22"/>
              </w:rPr>
              <w:t>Support</w:t>
            </w:r>
            <w:r w:rsidRPr="00B12BB1">
              <w:rPr>
                <w:sz w:val="22"/>
                <w:szCs w:val="22"/>
                <w:lang w:val="el-GR"/>
              </w:rPr>
              <w:t xml:space="preserve"> </w:t>
            </w:r>
            <w:r w:rsidRPr="00B12BB1">
              <w:rPr>
                <w:sz w:val="22"/>
                <w:szCs w:val="22"/>
              </w:rPr>
              <w:t>for</w:t>
            </w:r>
            <w:r w:rsidRPr="00B12BB1">
              <w:rPr>
                <w:sz w:val="22"/>
                <w:szCs w:val="22"/>
                <w:lang w:val="el-GR"/>
              </w:rPr>
              <w:t xml:space="preserve"> </w:t>
            </w:r>
            <w:r w:rsidRPr="00B12BB1">
              <w:rPr>
                <w:sz w:val="22"/>
                <w:szCs w:val="22"/>
              </w:rPr>
              <w:t>Participants</w:t>
            </w:r>
            <w:r w:rsidRPr="00B12BB1">
              <w:rPr>
                <w:sz w:val="22"/>
                <w:szCs w:val="22"/>
                <w:lang w:val="el-GR"/>
              </w:rPr>
              <w:t>, προς αποφυγή διπλής χρηματοδότησης. Καταβάλλεται ως εξής:</w:t>
            </w:r>
            <w:r w:rsidRPr="00B12BB1">
              <w:rPr>
                <w:sz w:val="22"/>
                <w:szCs w:val="22"/>
                <w:lang w:val="el-GR"/>
              </w:rPr>
              <w:br/>
            </w:r>
            <w:r w:rsidRPr="00B12BB1">
              <w:rPr>
                <w:b/>
                <w:bCs/>
                <w:sz w:val="22"/>
                <w:szCs w:val="22"/>
                <w:lang w:val="el-GR"/>
              </w:rPr>
              <w:t>• 250 ευρώ μηνιαίως για κινητικότητες μακράς διάρκειας</w:t>
            </w:r>
            <w:r w:rsidRPr="00B12BB1">
              <w:rPr>
                <w:b/>
                <w:bCs/>
                <w:sz w:val="22"/>
                <w:szCs w:val="22"/>
                <w:lang w:val="el-GR"/>
              </w:rPr>
              <w:br/>
              <w:t>• 100 ή 150 ευρώ για κινητικότητες σύντομης διάρκειας</w:t>
            </w:r>
          </w:p>
        </w:tc>
      </w:tr>
      <w:tr w:rsidR="00B12BB1" w:rsidRPr="00076AA9" w14:paraId="0AFE9561" w14:textId="77777777" w:rsidTr="0071139A">
        <w:trPr>
          <w:trHeight w:val="769"/>
        </w:trPr>
        <w:tc>
          <w:tcPr>
            <w:tcW w:w="9350" w:type="dxa"/>
            <w:tcBorders>
              <w:top w:val="single" w:sz="4" w:space="0" w:color="auto"/>
              <w:left w:val="single" w:sz="4" w:space="0" w:color="auto"/>
              <w:bottom w:val="single" w:sz="4" w:space="0" w:color="auto"/>
              <w:right w:val="single" w:sz="4" w:space="0" w:color="auto"/>
            </w:tcBorders>
            <w:hideMark/>
          </w:tcPr>
          <w:p w14:paraId="7C09473B" w14:textId="693EBF1D" w:rsidR="00B12BB1" w:rsidRPr="00B12BB1" w:rsidRDefault="00B12BB1" w:rsidP="00B12BB1">
            <w:pPr>
              <w:rPr>
                <w:sz w:val="22"/>
                <w:szCs w:val="22"/>
                <w:lang w:val="el-GR"/>
              </w:rPr>
            </w:pPr>
            <w:r w:rsidRPr="00B12BB1">
              <w:rPr>
                <w:sz w:val="22"/>
                <w:szCs w:val="22"/>
                <w:lang w:val="el-GR"/>
              </w:rPr>
              <w:t xml:space="preserve">3. </w:t>
            </w:r>
            <w:r w:rsidR="0071139A" w:rsidRPr="0071139A">
              <w:rPr>
                <w:sz w:val="22"/>
                <w:szCs w:val="22"/>
                <w:lang w:val="el-GR"/>
              </w:rPr>
              <w:t>Η</w:t>
            </w:r>
            <w:r w:rsidRPr="00B12BB1">
              <w:rPr>
                <w:sz w:val="22"/>
                <w:szCs w:val="22"/>
                <w:lang w:val="el-GR"/>
              </w:rPr>
              <w:t xml:space="preserve"> </w:t>
            </w:r>
            <w:r w:rsidRPr="0071139A">
              <w:rPr>
                <w:sz w:val="22"/>
                <w:szCs w:val="22"/>
                <w:lang w:val="el-GR"/>
              </w:rPr>
              <w:t xml:space="preserve">Αίτηση </w:t>
            </w:r>
            <w:r w:rsidR="0071139A" w:rsidRPr="0071139A">
              <w:rPr>
                <w:sz w:val="22"/>
                <w:szCs w:val="22"/>
                <w:lang w:val="el-GR"/>
              </w:rPr>
              <w:t xml:space="preserve">που </w:t>
            </w:r>
            <w:r w:rsidRPr="00B12BB1">
              <w:rPr>
                <w:sz w:val="22"/>
                <w:szCs w:val="22"/>
                <w:lang w:val="el-GR"/>
              </w:rPr>
              <w:t xml:space="preserve">αφορά πρόσθετη χρηματοδότηση για επιπλέον έξοδα ατόμων με λιγότερες ευκαιρίες και των συνοδών τους, συμπληρώνεται από το Γραφείο </w:t>
            </w:r>
            <w:r w:rsidRPr="00B12BB1">
              <w:rPr>
                <w:sz w:val="22"/>
                <w:szCs w:val="22"/>
              </w:rPr>
              <w:t>Erasmus</w:t>
            </w:r>
            <w:r w:rsidRPr="00B12BB1">
              <w:rPr>
                <w:sz w:val="22"/>
                <w:szCs w:val="22"/>
                <w:lang w:val="el-GR"/>
              </w:rPr>
              <w:t xml:space="preserve"> ή άλλο αρμόδιο Γραφείο του δικαιούχου ΑΕΙ.</w:t>
            </w:r>
          </w:p>
        </w:tc>
      </w:tr>
      <w:tr w:rsidR="00B12BB1" w:rsidRPr="00076AA9" w14:paraId="6CEA62DD" w14:textId="77777777" w:rsidTr="0071139A">
        <w:trPr>
          <w:trHeight w:val="1538"/>
        </w:trPr>
        <w:tc>
          <w:tcPr>
            <w:tcW w:w="9350" w:type="dxa"/>
            <w:tcBorders>
              <w:top w:val="single" w:sz="4" w:space="0" w:color="auto"/>
              <w:left w:val="single" w:sz="4" w:space="0" w:color="auto"/>
              <w:bottom w:val="single" w:sz="4" w:space="0" w:color="auto"/>
              <w:right w:val="single" w:sz="4" w:space="0" w:color="auto"/>
            </w:tcBorders>
            <w:vAlign w:val="center"/>
            <w:hideMark/>
          </w:tcPr>
          <w:p w14:paraId="415820AD" w14:textId="6533B17C" w:rsidR="00B12BB1" w:rsidRPr="00B12BB1" w:rsidRDefault="0071139A" w:rsidP="00B12BB1">
            <w:pPr>
              <w:rPr>
                <w:sz w:val="22"/>
                <w:szCs w:val="22"/>
                <w:lang w:val="el-GR"/>
              </w:rPr>
            </w:pPr>
            <w:r w:rsidRPr="0071139A">
              <w:rPr>
                <w:sz w:val="22"/>
                <w:szCs w:val="22"/>
                <w:lang w:val="el-GR"/>
              </w:rPr>
              <w:t>4</w:t>
            </w:r>
            <w:r w:rsidR="00B12BB1" w:rsidRPr="00B12BB1">
              <w:rPr>
                <w:sz w:val="22"/>
                <w:szCs w:val="22"/>
                <w:lang w:val="el-GR"/>
              </w:rPr>
              <w:t>. Τ</w:t>
            </w:r>
            <w:r w:rsidR="00B12BB1" w:rsidRPr="00B12BB1">
              <w:rPr>
                <w:sz w:val="22"/>
                <w:szCs w:val="22"/>
              </w:rPr>
              <w:t>o</w:t>
            </w:r>
            <w:r w:rsidR="00B12BB1" w:rsidRPr="00B12BB1">
              <w:rPr>
                <w:sz w:val="22"/>
                <w:szCs w:val="22"/>
                <w:lang w:val="el-GR"/>
              </w:rPr>
              <w:t xml:space="preserve"> αίτημα για την κάλυψη εξόδων που σχετίζονται με τη συμμετοχή ατόμων με λιγότερες ευκαιρίες υποβάλλεται συνήθως κατά το στάδιο υποβολής της </w:t>
            </w:r>
            <w:r w:rsidRPr="0071139A">
              <w:rPr>
                <w:sz w:val="22"/>
                <w:szCs w:val="22"/>
                <w:lang w:val="el-GR"/>
              </w:rPr>
              <w:t>ενδιάμεσης</w:t>
            </w:r>
            <w:r w:rsidR="00B12BB1" w:rsidRPr="00B12BB1">
              <w:rPr>
                <w:sz w:val="22"/>
                <w:szCs w:val="22"/>
                <w:lang w:val="el-GR"/>
              </w:rPr>
              <w:t xml:space="preserve"> έκθεσης. Εντούτοις, ένα τέτοιο αίτημα υπάρχει η δυνατότητα να υποβληθεί και καθ’ όλη τη διάρκεια του σχεδίου κινητικότητας, εφόσον προκύψει η ανάγκη και δεν υπάρχει δυνατότητα μεταφοράς από άλλες κατηγορίες εξόδων. </w:t>
            </w:r>
            <w:r w:rsidR="00B12BB1" w:rsidRPr="00B12BB1">
              <w:rPr>
                <w:b/>
                <w:bCs/>
                <w:sz w:val="22"/>
                <w:szCs w:val="22"/>
                <w:u w:val="single"/>
                <w:lang w:val="el-GR"/>
              </w:rPr>
              <w:t>Ωστόσο, η Εθνική Υπηρεσία δε δεσμεύεται για τη διαθεσιμότητα των κεφαλαίων, ώστε να ικανοποιήσει όλα τα αιτήματα.</w:t>
            </w:r>
          </w:p>
        </w:tc>
      </w:tr>
      <w:tr w:rsidR="00B12BB1" w:rsidRPr="00076AA9" w14:paraId="7CF804B6" w14:textId="77777777" w:rsidTr="0071139A">
        <w:trPr>
          <w:trHeight w:val="960"/>
        </w:trPr>
        <w:tc>
          <w:tcPr>
            <w:tcW w:w="9350" w:type="dxa"/>
            <w:tcBorders>
              <w:top w:val="single" w:sz="4" w:space="0" w:color="auto"/>
              <w:left w:val="single" w:sz="4" w:space="0" w:color="auto"/>
              <w:bottom w:val="single" w:sz="4" w:space="0" w:color="auto"/>
              <w:right w:val="single" w:sz="4" w:space="0" w:color="auto"/>
            </w:tcBorders>
            <w:vAlign w:val="center"/>
            <w:hideMark/>
          </w:tcPr>
          <w:p w14:paraId="76DFA634" w14:textId="523E7673" w:rsidR="00B12BB1" w:rsidRPr="00B12BB1" w:rsidRDefault="0071139A" w:rsidP="00B12BB1">
            <w:pPr>
              <w:rPr>
                <w:sz w:val="22"/>
                <w:szCs w:val="22"/>
                <w:lang w:val="el-GR"/>
              </w:rPr>
            </w:pPr>
            <w:r w:rsidRPr="0071139A">
              <w:rPr>
                <w:b/>
                <w:bCs/>
                <w:sz w:val="22"/>
                <w:szCs w:val="22"/>
                <w:lang w:val="el-GR"/>
              </w:rPr>
              <w:t>5</w:t>
            </w:r>
            <w:r w:rsidR="00B12BB1" w:rsidRPr="00B12BB1">
              <w:rPr>
                <w:b/>
                <w:bCs/>
                <w:sz w:val="22"/>
                <w:szCs w:val="22"/>
                <w:lang w:val="el-GR"/>
              </w:rPr>
              <w:t xml:space="preserve">. </w:t>
            </w:r>
            <w:r w:rsidR="00B12BB1" w:rsidRPr="00B12BB1">
              <w:rPr>
                <w:b/>
                <w:bCs/>
                <w:sz w:val="22"/>
                <w:szCs w:val="22"/>
                <w:u w:val="single"/>
                <w:lang w:val="el-GR"/>
              </w:rPr>
              <w:t xml:space="preserve">Τα ιδρύματα φέρουν την ευθύνη για την εξασφάλιση της συγκατάθεσης των φοιτητών/φοιτητριών και του προσωπικού για τη συλλογή, επεξεργασία και αποστολή των προσωπικών τους δεδομένων </w:t>
            </w:r>
            <w:r w:rsidR="00B12BB1" w:rsidRPr="00B12BB1">
              <w:rPr>
                <w:b/>
                <w:bCs/>
                <w:sz w:val="22"/>
                <w:szCs w:val="22"/>
                <w:lang w:val="el-GR"/>
              </w:rPr>
              <w:t>στο ΙΔΕΠ Δια Βίου Μάθησης, στο πλαίσιο της αίτησης για πρόσθετη χρηματοδότηση.</w:t>
            </w:r>
          </w:p>
        </w:tc>
      </w:tr>
      <w:tr w:rsidR="00B12BB1" w:rsidRPr="00076AA9" w14:paraId="25415668" w14:textId="77777777" w:rsidTr="0071139A">
        <w:trPr>
          <w:trHeight w:val="1189"/>
        </w:trPr>
        <w:tc>
          <w:tcPr>
            <w:tcW w:w="9350" w:type="dxa"/>
            <w:tcBorders>
              <w:top w:val="single" w:sz="4" w:space="0" w:color="auto"/>
              <w:left w:val="single" w:sz="4" w:space="0" w:color="auto"/>
              <w:bottom w:val="single" w:sz="4" w:space="0" w:color="auto"/>
              <w:right w:val="single" w:sz="4" w:space="0" w:color="auto"/>
            </w:tcBorders>
            <w:vAlign w:val="center"/>
            <w:hideMark/>
          </w:tcPr>
          <w:p w14:paraId="51D9A2A4" w14:textId="278C583C" w:rsidR="00B12BB1" w:rsidRPr="00B12BB1" w:rsidRDefault="0071139A" w:rsidP="00B12BB1">
            <w:pPr>
              <w:rPr>
                <w:sz w:val="22"/>
                <w:szCs w:val="22"/>
                <w:lang w:val="el-GR"/>
              </w:rPr>
            </w:pPr>
            <w:hyperlink r:id="rId4" w:history="1">
              <w:r>
                <w:rPr>
                  <w:rStyle w:val="Hyperlink"/>
                  <w:b/>
                  <w:bCs/>
                  <w:sz w:val="22"/>
                  <w:szCs w:val="22"/>
                  <w:lang w:val="el-GR"/>
                </w:rPr>
                <w:t>6</w:t>
              </w:r>
              <w:r w:rsidR="00B12BB1" w:rsidRPr="00B12BB1">
                <w:rPr>
                  <w:rStyle w:val="Hyperlink"/>
                  <w:b/>
                  <w:bCs/>
                  <w:sz w:val="22"/>
                  <w:szCs w:val="22"/>
                  <w:lang w:val="el-GR"/>
                </w:rPr>
                <w:t xml:space="preserve">. Για διευκρινίσεις σχετικά με το ποιες κατηγορίες ατόμων θεωρούνται άτομα με λιγότερες ευκαιρίες και τα δικαιολογητικά που απαιτούνται, ανά κατηγορία, μπορείτε να βρείτε στη Στρατηγική του ΙΔΕΠ για την ένταξη και την πολυμορφία στο πλαίσιο του </w:t>
              </w:r>
              <w:r w:rsidR="00B12BB1" w:rsidRPr="00B12BB1">
                <w:rPr>
                  <w:rStyle w:val="Hyperlink"/>
                  <w:b/>
                  <w:bCs/>
                  <w:sz w:val="22"/>
                  <w:szCs w:val="22"/>
                </w:rPr>
                <w:t>Erasmus</w:t>
              </w:r>
              <w:r w:rsidR="00B12BB1" w:rsidRPr="00B12BB1">
                <w:rPr>
                  <w:rStyle w:val="Hyperlink"/>
                  <w:b/>
                  <w:bCs/>
                  <w:sz w:val="22"/>
                  <w:szCs w:val="22"/>
                  <w:lang w:val="el-GR"/>
                </w:rPr>
                <w:t>+. Τα δικαιολογητικά αυτά δεν επισυνάπτονται στην παρούσα αίτηση, τηρούνται όμως στα αρχεία του δικαιούχου οργανισμού.</w:t>
              </w:r>
              <w:r w:rsidR="00B12BB1" w:rsidRPr="00B12BB1">
                <w:rPr>
                  <w:rStyle w:val="Hyperlink"/>
                  <w:b/>
                  <w:bCs/>
                  <w:sz w:val="22"/>
                  <w:szCs w:val="22"/>
                </w:rPr>
                <w:t> </w:t>
              </w:r>
            </w:hyperlink>
          </w:p>
        </w:tc>
      </w:tr>
    </w:tbl>
    <w:p w14:paraId="68CCC628" w14:textId="77777777" w:rsidR="0084459B" w:rsidRPr="00B12BB1" w:rsidRDefault="0084459B">
      <w:pPr>
        <w:rPr>
          <w:lang w:val="el-GR"/>
        </w:rPr>
      </w:pPr>
    </w:p>
    <w:sectPr w:rsidR="0084459B" w:rsidRPr="00B12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B1"/>
    <w:rsid w:val="00076AA9"/>
    <w:rsid w:val="0071139A"/>
    <w:rsid w:val="0084459B"/>
    <w:rsid w:val="009E3780"/>
    <w:rsid w:val="00A7155B"/>
    <w:rsid w:val="00B12BB1"/>
    <w:rsid w:val="00C76CC8"/>
    <w:rsid w:val="00D746C7"/>
    <w:rsid w:val="00DC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A0A3"/>
  <w15:chartTrackingRefBased/>
  <w15:docId w15:val="{882208E6-B1AD-4839-8E3A-858DC566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BB1"/>
    <w:rPr>
      <w:rFonts w:eastAsiaTheme="majorEastAsia" w:cstheme="majorBidi"/>
      <w:color w:val="272727" w:themeColor="text1" w:themeTint="D8"/>
    </w:rPr>
  </w:style>
  <w:style w:type="paragraph" w:styleId="Title">
    <w:name w:val="Title"/>
    <w:basedOn w:val="Normal"/>
    <w:next w:val="Normal"/>
    <w:link w:val="TitleChar"/>
    <w:uiPriority w:val="10"/>
    <w:qFormat/>
    <w:rsid w:val="00B1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BB1"/>
    <w:pPr>
      <w:spacing w:before="160"/>
      <w:jc w:val="center"/>
    </w:pPr>
    <w:rPr>
      <w:i/>
      <w:iCs/>
      <w:color w:val="404040" w:themeColor="text1" w:themeTint="BF"/>
    </w:rPr>
  </w:style>
  <w:style w:type="character" w:customStyle="1" w:styleId="QuoteChar">
    <w:name w:val="Quote Char"/>
    <w:basedOn w:val="DefaultParagraphFont"/>
    <w:link w:val="Quote"/>
    <w:uiPriority w:val="29"/>
    <w:rsid w:val="00B12BB1"/>
    <w:rPr>
      <w:i/>
      <w:iCs/>
      <w:color w:val="404040" w:themeColor="text1" w:themeTint="BF"/>
    </w:rPr>
  </w:style>
  <w:style w:type="paragraph" w:styleId="ListParagraph">
    <w:name w:val="List Paragraph"/>
    <w:basedOn w:val="Normal"/>
    <w:uiPriority w:val="34"/>
    <w:qFormat/>
    <w:rsid w:val="00B12BB1"/>
    <w:pPr>
      <w:ind w:left="720"/>
      <w:contextualSpacing/>
    </w:pPr>
  </w:style>
  <w:style w:type="character" w:styleId="IntenseEmphasis">
    <w:name w:val="Intense Emphasis"/>
    <w:basedOn w:val="DefaultParagraphFont"/>
    <w:uiPriority w:val="21"/>
    <w:qFormat/>
    <w:rsid w:val="00B12BB1"/>
    <w:rPr>
      <w:i/>
      <w:iCs/>
      <w:color w:val="0F4761" w:themeColor="accent1" w:themeShade="BF"/>
    </w:rPr>
  </w:style>
  <w:style w:type="paragraph" w:styleId="IntenseQuote">
    <w:name w:val="Intense Quote"/>
    <w:basedOn w:val="Normal"/>
    <w:next w:val="Normal"/>
    <w:link w:val="IntenseQuoteChar"/>
    <w:uiPriority w:val="30"/>
    <w:qFormat/>
    <w:rsid w:val="00B1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BB1"/>
    <w:rPr>
      <w:i/>
      <w:iCs/>
      <w:color w:val="0F4761" w:themeColor="accent1" w:themeShade="BF"/>
    </w:rPr>
  </w:style>
  <w:style w:type="character" w:styleId="IntenseReference">
    <w:name w:val="Intense Reference"/>
    <w:basedOn w:val="DefaultParagraphFont"/>
    <w:uiPriority w:val="32"/>
    <w:qFormat/>
    <w:rsid w:val="00B12BB1"/>
    <w:rPr>
      <w:b/>
      <w:bCs/>
      <w:smallCaps/>
      <w:color w:val="0F4761" w:themeColor="accent1" w:themeShade="BF"/>
      <w:spacing w:val="5"/>
    </w:rPr>
  </w:style>
  <w:style w:type="character" w:styleId="Hyperlink">
    <w:name w:val="Hyperlink"/>
    <w:basedOn w:val="DefaultParagraphFont"/>
    <w:uiPriority w:val="99"/>
    <w:unhideWhenUsed/>
    <w:rsid w:val="00B12BB1"/>
    <w:rPr>
      <w:color w:val="467886" w:themeColor="hyperlink"/>
      <w:u w:val="single"/>
    </w:rPr>
  </w:style>
  <w:style w:type="character" w:styleId="UnresolvedMention">
    <w:name w:val="Unresolved Mention"/>
    <w:basedOn w:val="DefaultParagraphFont"/>
    <w:uiPriority w:val="99"/>
    <w:semiHidden/>
    <w:unhideWhenUsed/>
    <w:rsid w:val="00B1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dep.org.cy/stratigiki-tou-id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Thalia Christou</dc:creator>
  <cp:keywords/>
  <dc:description/>
  <cp:lastModifiedBy>Maria Thalia Christou</cp:lastModifiedBy>
  <cp:revision>4</cp:revision>
  <dcterms:created xsi:type="dcterms:W3CDTF">2025-11-07T06:07:00Z</dcterms:created>
  <dcterms:modified xsi:type="dcterms:W3CDTF">2025-11-24T10:02:00Z</dcterms:modified>
</cp:coreProperties>
</file>