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07FE" w14:textId="67808C71" w:rsidR="00FE2ED9" w:rsidRDefault="00E1142D" w:rsidP="004A4D5E">
      <w:pPr>
        <w:pStyle w:val="Heading1"/>
      </w:pPr>
      <w:bookmarkStart w:id="0" w:name="_Toc441250814"/>
      <w:bookmarkStart w:id="1" w:name="_Toc530496910"/>
      <w:bookmarkStart w:id="2" w:name="General"/>
      <w:r w:rsidRPr="00345713">
        <w:t>ANNEX I</w:t>
      </w:r>
      <w:bookmarkEnd w:id="0"/>
      <w:r w:rsidR="00C274D9">
        <w:t xml:space="preserve"> </w:t>
      </w:r>
      <w:r w:rsidR="00C274D9">
        <w:rPr>
          <w:rFonts w:hint="eastAsia"/>
        </w:rPr>
        <w:t>—</w:t>
      </w:r>
      <w:r w:rsidR="00C274D9">
        <w:t xml:space="preserve"> </w:t>
      </w:r>
      <w:bookmarkStart w:id="3" w:name="_Toc441250815"/>
      <w:r w:rsidR="00FE2ED9" w:rsidRPr="00345713">
        <w:t>GENERAL CONDITIONS</w:t>
      </w:r>
      <w:bookmarkEnd w:id="1"/>
      <w:bookmarkEnd w:id="3"/>
    </w:p>
    <w:p w14:paraId="78AD07FF" w14:textId="77777777" w:rsidR="00C274D9" w:rsidRDefault="00C274D9" w:rsidP="00C274D9">
      <w:pPr>
        <w:pStyle w:val="Heading1"/>
      </w:pPr>
      <w:bookmarkStart w:id="4" w:name="_Toc530496911"/>
      <w:r>
        <w:t>Table of content</w:t>
      </w:r>
      <w:bookmarkEnd w:id="4"/>
    </w:p>
    <w:p w14:paraId="78AD0802" w14:textId="3FABDE1D" w:rsidR="00EB128A" w:rsidRDefault="00C274D9">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000000">
      <w:pPr>
        <w:pStyle w:val="TOC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000000">
      <w:pPr>
        <w:pStyle w:val="TOC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000000">
      <w:pPr>
        <w:pStyle w:val="TOC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000000">
      <w:pPr>
        <w:pStyle w:val="TOC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000000">
      <w:pPr>
        <w:pStyle w:val="TOC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000000">
      <w:pPr>
        <w:pStyle w:val="TOC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000000">
      <w:pPr>
        <w:pStyle w:val="TOC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000000">
      <w:pPr>
        <w:pStyle w:val="TOC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000000">
      <w:pPr>
        <w:pStyle w:val="TOC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000000">
      <w:pPr>
        <w:pStyle w:val="TOC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000000">
      <w:pPr>
        <w:pStyle w:val="TOC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000000">
      <w:pPr>
        <w:pStyle w:val="TOC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000000">
      <w:pPr>
        <w:pStyle w:val="TOC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000000">
      <w:pPr>
        <w:pStyle w:val="TOC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000000">
      <w:pPr>
        <w:pStyle w:val="TOC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000000">
      <w:pPr>
        <w:pStyle w:val="TOC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000000">
      <w:pPr>
        <w:pStyle w:val="TOC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000000">
      <w:pPr>
        <w:pStyle w:val="TOC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000000">
      <w:pPr>
        <w:pStyle w:val="TOC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000000">
      <w:pPr>
        <w:pStyle w:val="TOC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000000">
      <w:pPr>
        <w:pStyle w:val="TOC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000000">
      <w:pPr>
        <w:pStyle w:val="TOC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000000">
      <w:pPr>
        <w:pStyle w:val="TOC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000000">
      <w:pPr>
        <w:pStyle w:val="TOC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000000">
      <w:pPr>
        <w:pStyle w:val="TOC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000000">
      <w:pPr>
        <w:pStyle w:val="TOC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000000">
      <w:pPr>
        <w:pStyle w:val="TOC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000000">
      <w:pPr>
        <w:pStyle w:val="TOC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000000">
      <w:pPr>
        <w:pStyle w:val="TOC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000000">
      <w:pPr>
        <w:pStyle w:val="TOC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000000">
      <w:pPr>
        <w:pStyle w:val="TOC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000000">
      <w:pPr>
        <w:pStyle w:val="TOC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000000">
      <w:pPr>
        <w:pStyle w:val="TOC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Heading1"/>
      </w:pPr>
      <w:bookmarkStart w:id="5" w:name="_Toc441250816"/>
      <w:bookmarkStart w:id="6" w:name="_Toc530496912"/>
      <w:bookmarkStart w:id="7" w:name="_Toc97092408"/>
      <w:r w:rsidRPr="00345713">
        <w:lastRenderedPageBreak/>
        <w:t xml:space="preserve">PART A </w:t>
      </w:r>
      <w:r w:rsidR="00345713">
        <w:rPr>
          <w:rFonts w:hint="eastAsia"/>
        </w:rPr>
        <w:t>—</w:t>
      </w:r>
      <w:r w:rsidRPr="00345713">
        <w:t xml:space="preserve"> LEGAL AND ADMINISTRATIVE PROVISIONS</w:t>
      </w:r>
      <w:bookmarkEnd w:id="5"/>
      <w:bookmarkEnd w:id="6"/>
    </w:p>
    <w:p w14:paraId="78AD0851" w14:textId="77777777" w:rsidR="00FE696A" w:rsidRPr="00345713" w:rsidRDefault="000A4F91" w:rsidP="00D43191">
      <w:pPr>
        <w:pStyle w:val="Heading2"/>
      </w:pPr>
      <w:bookmarkStart w:id="8" w:name="_Toc441250817"/>
      <w:bookmarkStart w:id="9"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8"/>
      <w:bookmarkEnd w:id="9"/>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failure by a beneficiary to fulfil one or more of its contractual obligations</w:t>
      </w:r>
      <w:r w:rsidRPr="000E0DED">
        <w:t>.</w:t>
      </w:r>
      <w:r w:rsidR="008021C5" w:rsidRPr="00345713">
        <w:rPr>
          <w:b/>
        </w:rPr>
        <w:t>‘</w:t>
      </w:r>
      <w:r w:rsidR="00E71B03" w:rsidRPr="00345713">
        <w:rPr>
          <w:b/>
        </w:rPr>
        <w:t>C</w:t>
      </w:r>
      <w:r w:rsidR="00FE696A" w:rsidRPr="00345713">
        <w:rPr>
          <w:b/>
        </w:rPr>
        <w:t>onfi</w:t>
      </w:r>
      <w:r w:rsidR="00BF1449" w:rsidRPr="00345713">
        <w:rPr>
          <w:b/>
        </w:rPr>
        <w:t>dential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stParagraph"/>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Heading2"/>
      </w:pPr>
      <w:bookmarkStart w:id="10" w:name="_Toc441250818"/>
      <w:bookmarkStart w:id="11"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7"/>
      <w:bookmarkEnd w:id="10"/>
      <w:bookmarkEnd w:id="11"/>
    </w:p>
    <w:p w14:paraId="78AD0865" w14:textId="77777777" w:rsidR="00C04488" w:rsidRPr="00345713" w:rsidRDefault="006D7FBA" w:rsidP="00D43191">
      <w:pPr>
        <w:pStyle w:val="Heading3"/>
      </w:pPr>
      <w:bookmarkStart w:id="12" w:name="_Toc441250819"/>
      <w:bookmarkStart w:id="13"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2"/>
      <w:bookmarkEnd w:id="13"/>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Heading3"/>
      </w:pPr>
      <w:bookmarkStart w:id="14" w:name="_Toc441250820"/>
      <w:bookmarkStart w:id="15" w:name="_Toc530496916"/>
    </w:p>
    <w:p w14:paraId="78AD086B" w14:textId="77777777" w:rsidR="00BF6E96" w:rsidRPr="00345713" w:rsidRDefault="00860C46" w:rsidP="00D43191">
      <w:pPr>
        <w:pStyle w:val="Heading3"/>
      </w:pPr>
      <w:r w:rsidRPr="00345713">
        <w:lastRenderedPageBreak/>
        <w:t>II.</w:t>
      </w:r>
      <w:r w:rsidR="00B67DE2" w:rsidRPr="00345713">
        <w:t>2</w:t>
      </w:r>
      <w:r w:rsidRPr="00345713">
        <w:t>.2</w:t>
      </w:r>
      <w:r w:rsidR="0022400D" w:rsidRPr="00345713">
        <w:tab/>
      </w:r>
      <w:r w:rsidR="0064624A" w:rsidRPr="00345713">
        <w:t>General o</w:t>
      </w:r>
      <w:r w:rsidR="00BF6E96" w:rsidRPr="00345713">
        <w:t>bligations and role of each beneficiary</w:t>
      </w:r>
      <w:bookmarkEnd w:id="14"/>
      <w:bookmarkEnd w:id="15"/>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Heading3"/>
      </w:pPr>
      <w:bookmarkStart w:id="16" w:name="_Toc441250821"/>
      <w:bookmarkStart w:id="17"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6"/>
      <w:bookmarkEnd w:id="17"/>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lastRenderedPageBreak/>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Heading2"/>
      </w:pPr>
      <w:bookmarkStart w:id="18" w:name="_Toc441250822"/>
      <w:bookmarkStart w:id="19"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8"/>
      <w:bookmarkEnd w:id="19"/>
    </w:p>
    <w:p w14:paraId="78AD0886" w14:textId="77777777" w:rsidR="00A7459B" w:rsidRPr="00345713" w:rsidRDefault="00270BFE" w:rsidP="00D43191">
      <w:pPr>
        <w:pStyle w:val="Heading3"/>
      </w:pPr>
      <w:bookmarkStart w:id="20" w:name="_Toc441250823"/>
      <w:bookmarkStart w:id="21" w:name="_Toc530496919"/>
      <w:r w:rsidRPr="00345713">
        <w:t>II.</w:t>
      </w:r>
      <w:r w:rsidR="00917DB5" w:rsidRPr="00345713">
        <w:t>3</w:t>
      </w:r>
      <w:r w:rsidRPr="00345713">
        <w:t>.1</w:t>
      </w:r>
      <w:r w:rsidRPr="00345713">
        <w:tab/>
      </w:r>
      <w:r w:rsidR="00A7459B" w:rsidRPr="00345713">
        <w:t>Form and means of communication</w:t>
      </w:r>
      <w:bookmarkEnd w:id="20"/>
      <w:bookmarkEnd w:id="21"/>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Heading3"/>
      </w:pPr>
      <w:bookmarkStart w:id="22" w:name="_Toc441250824"/>
      <w:bookmarkStart w:id="23" w:name="_Toc530496920"/>
      <w:r w:rsidRPr="00345713">
        <w:t>II.</w:t>
      </w:r>
      <w:r w:rsidR="00917DB5" w:rsidRPr="00345713">
        <w:t>3</w:t>
      </w:r>
      <w:r w:rsidRPr="00345713">
        <w:t>.2</w:t>
      </w:r>
      <w:r w:rsidRPr="00345713">
        <w:tab/>
      </w:r>
      <w:r w:rsidR="002C5FCE" w:rsidRPr="00345713">
        <w:t>Date of communications</w:t>
      </w:r>
      <w:bookmarkEnd w:id="22"/>
      <w:bookmarkEnd w:id="23"/>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lastRenderedPageBreak/>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Heading2"/>
      </w:pPr>
      <w:bookmarkStart w:id="24" w:name="_Toc97092415"/>
      <w:bookmarkStart w:id="25" w:name="_Toc441250827"/>
      <w:bookmarkStart w:id="26"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4"/>
      <w:bookmarkEnd w:id="25"/>
      <w:bookmarkEnd w:id="26"/>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Heading2"/>
      </w:pPr>
      <w:bookmarkStart w:id="27" w:name="_Toc441250828"/>
      <w:bookmarkStart w:id="28"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7"/>
      <w:bookmarkEnd w:id="28"/>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Heading2"/>
      </w:pPr>
      <w:bookmarkStart w:id="29" w:name="_Toc441250829"/>
      <w:bookmarkStart w:id="30"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29"/>
      <w:bookmarkEnd w:id="30"/>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Heading2"/>
      </w:pPr>
      <w:bookmarkStart w:id="31" w:name="_Toc441250830"/>
      <w:bookmarkStart w:id="32"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1"/>
      <w:bookmarkEnd w:id="32"/>
    </w:p>
    <w:p w14:paraId="78AD08A0" w14:textId="77777777" w:rsidR="002B264E" w:rsidRPr="00345713" w:rsidRDefault="00D01432" w:rsidP="00D43191">
      <w:pPr>
        <w:pStyle w:val="Heading3"/>
      </w:pPr>
      <w:bookmarkStart w:id="33" w:name="_Toc441250831"/>
      <w:bookmarkStart w:id="34" w:name="_Toc530496925"/>
      <w:r w:rsidRPr="00345713">
        <w:t>II.</w:t>
      </w:r>
      <w:r w:rsidR="00EA0C01" w:rsidRPr="00345713">
        <w:t>7</w:t>
      </w:r>
      <w:r w:rsidRPr="00345713">
        <w:t>.1</w:t>
      </w:r>
      <w:r w:rsidRPr="00345713">
        <w:tab/>
      </w:r>
      <w:r w:rsidR="002B264E" w:rsidRPr="00345713">
        <w:t>Processing of personal data by the Commission</w:t>
      </w:r>
      <w:bookmarkEnd w:id="33"/>
      <w:bookmarkEnd w:id="34"/>
    </w:p>
    <w:p w14:paraId="78AD08A1" w14:textId="4C231B12" w:rsidR="007C40EF" w:rsidRPr="00345713" w:rsidRDefault="00D01432" w:rsidP="00D43191">
      <w:r w:rsidRPr="00345713">
        <w:lastRenderedPageBreak/>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FootnoteReference"/>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Heading3"/>
      </w:pPr>
      <w:bookmarkStart w:id="35" w:name="_Toc441250832"/>
      <w:bookmarkStart w:id="36"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5"/>
      <w:bookmarkEnd w:id="36"/>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lastRenderedPageBreak/>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Heading2"/>
      </w:pPr>
      <w:bookmarkStart w:id="37" w:name="_Toc97092419"/>
      <w:bookmarkStart w:id="38" w:name="_Toc441250833"/>
      <w:bookmarkStart w:id="39"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7"/>
      <w:r w:rsidR="00227A82" w:rsidRPr="00345713">
        <w:t>V</w:t>
      </w:r>
      <w:r w:rsidR="00D43191" w:rsidRPr="00345713">
        <w:t xml:space="preserve">isibility of Union </w:t>
      </w:r>
      <w:r w:rsidR="00013EEC" w:rsidRPr="00345713">
        <w:t>funding</w:t>
      </w:r>
      <w:bookmarkEnd w:id="38"/>
      <w:bookmarkEnd w:id="39"/>
    </w:p>
    <w:p w14:paraId="78AD08B3" w14:textId="77777777" w:rsidR="00E9431B" w:rsidRPr="00345713" w:rsidRDefault="00227A82" w:rsidP="00013EEC">
      <w:pPr>
        <w:pStyle w:val="Heading3"/>
      </w:pPr>
      <w:bookmarkStart w:id="40" w:name="_Toc441250834"/>
      <w:bookmarkStart w:id="41"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0"/>
      <w:bookmarkEnd w:id="41"/>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Heading3"/>
      </w:pPr>
      <w:bookmarkStart w:id="42" w:name="_Toc441250835"/>
      <w:bookmarkStart w:id="43"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2"/>
      <w:bookmarkEnd w:id="43"/>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Heading2"/>
      </w:pPr>
      <w:bookmarkStart w:id="44" w:name="_Toc441250836"/>
      <w:bookmarkStart w:id="45"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4"/>
      <w:bookmarkEnd w:id="45"/>
    </w:p>
    <w:p w14:paraId="78AD08BF" w14:textId="77777777" w:rsidR="008A7074" w:rsidRPr="00345713" w:rsidRDefault="008A7074" w:rsidP="00013EEC">
      <w:pPr>
        <w:pStyle w:val="Heading3"/>
      </w:pPr>
      <w:bookmarkStart w:id="46" w:name="_Toc441250837"/>
      <w:bookmarkStart w:id="47"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6"/>
      <w:bookmarkEnd w:id="47"/>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Heading3"/>
      </w:pPr>
      <w:bookmarkStart w:id="48" w:name="_Toc441250838"/>
      <w:bookmarkStart w:id="49" w:name="_Toc530496932"/>
      <w:r w:rsidRPr="00345713">
        <w:t>II.</w:t>
      </w:r>
      <w:r w:rsidR="00465976" w:rsidRPr="00345713">
        <w:t>9</w:t>
      </w:r>
      <w:r w:rsidRPr="00345713">
        <w:t>.</w:t>
      </w:r>
      <w:r w:rsidR="00EE010E" w:rsidRPr="00345713">
        <w:t>2</w:t>
      </w:r>
      <w:r w:rsidRPr="00345713">
        <w:tab/>
        <w:t>Pre-existing rights</w:t>
      </w:r>
      <w:bookmarkEnd w:id="48"/>
      <w:bookmarkEnd w:id="49"/>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lastRenderedPageBreak/>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Heading3"/>
      </w:pPr>
      <w:bookmarkStart w:id="50" w:name="_Toc441250839"/>
      <w:bookmarkStart w:id="51"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0"/>
      <w:bookmarkEnd w:id="51"/>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w:t>
      </w:r>
      <w:r w:rsidRPr="00345713">
        <w:lastRenderedPageBreak/>
        <w:t>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Heading2"/>
      </w:pPr>
      <w:bookmarkStart w:id="52" w:name="_Toc441250840"/>
      <w:bookmarkStart w:id="53"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2"/>
      <w:bookmarkEnd w:id="53"/>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ootnoteReference"/>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ootnoteReference"/>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Heading2"/>
      </w:pPr>
      <w:bookmarkStart w:id="54" w:name="_Toc441250841"/>
      <w:bookmarkStart w:id="55" w:name="_Toc530496935"/>
      <w:r w:rsidRPr="00345713">
        <w:lastRenderedPageBreak/>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4"/>
      <w:bookmarkEnd w:id="55"/>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stParagraph"/>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stParagraph"/>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Heading2"/>
      </w:pPr>
      <w:bookmarkStart w:id="56" w:name="_Toc441250842"/>
      <w:bookmarkStart w:id="57"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6"/>
      <w:bookmarkEnd w:id="57"/>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lastRenderedPageBreak/>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Heading2"/>
      </w:pPr>
      <w:bookmarkStart w:id="58" w:name="_Toc97092427"/>
      <w:bookmarkStart w:id="59" w:name="_Toc441250843"/>
      <w:bookmarkStart w:id="60"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8"/>
      <w:r w:rsidR="00103C71" w:rsidRPr="00345713">
        <w:t>A</w:t>
      </w:r>
      <w:r w:rsidR="00013EEC" w:rsidRPr="00345713">
        <w:t>mendments to the agreement</w:t>
      </w:r>
      <w:bookmarkEnd w:id="59"/>
      <w:bookmarkEnd w:id="60"/>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Heading2"/>
      </w:pPr>
      <w:bookmarkStart w:id="61" w:name="_Toc441250844"/>
      <w:bookmarkStart w:id="62"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1"/>
      <w:bookmarkEnd w:id="62"/>
    </w:p>
    <w:p w14:paraId="78AD0902" w14:textId="77777777" w:rsidR="006B5C25" w:rsidRPr="00345713" w:rsidRDefault="00CF2EF0" w:rsidP="000669D7">
      <w:pPr>
        <w:ind w:left="851" w:hanging="851"/>
      </w:pPr>
      <w:r w:rsidRPr="00345713">
        <w:rPr>
          <w:b/>
        </w:rPr>
        <w:lastRenderedPageBreak/>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Heading2"/>
      </w:pPr>
      <w:bookmarkStart w:id="63" w:name="_Toc97092422"/>
      <w:bookmarkStart w:id="64" w:name="_Toc441250845"/>
      <w:bookmarkStart w:id="65"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3"/>
      <w:bookmarkEnd w:id="64"/>
      <w:bookmarkEnd w:id="65"/>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Heading2"/>
      </w:pPr>
      <w:bookmarkStart w:id="66" w:name="_Toc97092421"/>
      <w:bookmarkStart w:id="67" w:name="_Toc441250846"/>
      <w:bookmarkStart w:id="68"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6"/>
      <w:bookmarkEnd w:id="67"/>
      <w:bookmarkEnd w:id="68"/>
    </w:p>
    <w:p w14:paraId="78AD090A" w14:textId="77777777" w:rsidR="0003387A" w:rsidRPr="00345713" w:rsidRDefault="0003387A" w:rsidP="000669D7">
      <w:pPr>
        <w:pStyle w:val="Heading3"/>
      </w:pPr>
      <w:bookmarkStart w:id="69" w:name="_Toc441250847"/>
      <w:bookmarkStart w:id="70" w:name="_Toc530496941"/>
      <w:r w:rsidRPr="00345713">
        <w:t>II.</w:t>
      </w:r>
      <w:r w:rsidR="009B606A" w:rsidRPr="00345713">
        <w:t>1</w:t>
      </w:r>
      <w:r w:rsidR="00B229FC" w:rsidRPr="00345713">
        <w:t>6</w:t>
      </w:r>
      <w:r w:rsidRPr="00345713">
        <w:t>.1</w:t>
      </w:r>
      <w:r w:rsidRPr="00345713">
        <w:tab/>
        <w:t>Suspension of implementation by the beneficiaries</w:t>
      </w:r>
      <w:bookmarkEnd w:id="69"/>
      <w:bookmarkEnd w:id="70"/>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Heading3"/>
      </w:pPr>
      <w:bookmarkStart w:id="71" w:name="_Toc441250848"/>
      <w:bookmarkStart w:id="72"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1"/>
      <w:bookmarkEnd w:id="72"/>
    </w:p>
    <w:p w14:paraId="78AD0911" w14:textId="77777777" w:rsidR="00043B7D" w:rsidRPr="00D047ED" w:rsidRDefault="007A7919" w:rsidP="000669D7">
      <w:pPr>
        <w:pStyle w:val="Heading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lastRenderedPageBreak/>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Heading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Heading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lastRenderedPageBreak/>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Heading3"/>
      </w:pPr>
      <w:bookmarkStart w:id="73" w:name="_Toc441250849"/>
      <w:bookmarkStart w:id="74"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3"/>
      <w:bookmarkEnd w:id="74"/>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Heading2"/>
      </w:pPr>
      <w:bookmarkStart w:id="75" w:name="_Toc441250850"/>
      <w:bookmarkStart w:id="76"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5"/>
      <w:bookmarkEnd w:id="76"/>
    </w:p>
    <w:p w14:paraId="78AD0933" w14:textId="77777777" w:rsidR="00C75428" w:rsidRPr="00345713" w:rsidRDefault="009B606A" w:rsidP="00D047ED">
      <w:pPr>
        <w:pStyle w:val="Heading3"/>
        <w:ind w:left="851" w:hanging="851"/>
      </w:pPr>
      <w:bookmarkStart w:id="77" w:name="_Toc441250851"/>
      <w:bookmarkStart w:id="78"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7"/>
      <w:bookmarkEnd w:id="78"/>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Heading3"/>
        <w:ind w:left="851" w:hanging="851"/>
        <w:jc w:val="both"/>
      </w:pPr>
      <w:bookmarkStart w:id="79" w:name="_Toc441250852"/>
      <w:bookmarkStart w:id="80" w:name="_Toc530496946"/>
      <w:r w:rsidRPr="00345713">
        <w:lastRenderedPageBreak/>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79"/>
      <w:bookmarkEnd w:id="80"/>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Heading3"/>
        <w:ind w:left="851" w:hanging="851"/>
        <w:jc w:val="both"/>
      </w:pPr>
      <w:bookmarkStart w:id="81" w:name="_Toc441250853"/>
      <w:bookmarkStart w:id="82"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1"/>
      <w:bookmarkEnd w:id="82"/>
    </w:p>
    <w:p w14:paraId="78AD0946" w14:textId="77777777" w:rsidR="00F2700A" w:rsidRPr="00D047ED" w:rsidRDefault="005C3A15" w:rsidP="001A2CAB">
      <w:pPr>
        <w:pStyle w:val="Heading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lastRenderedPageBreak/>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(i)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Heading4"/>
      </w:pPr>
      <w:r w:rsidRPr="00D047ED">
        <w:lastRenderedPageBreak/>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Heading3"/>
      </w:pPr>
      <w:bookmarkStart w:id="83" w:name="_Toc441250854"/>
      <w:bookmarkStart w:id="84"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3"/>
      <w:bookmarkEnd w:id="84"/>
    </w:p>
    <w:p w14:paraId="78AD096C" w14:textId="77777777" w:rsidR="00DB22DC" w:rsidRPr="00D047ED" w:rsidRDefault="00ED49D1" w:rsidP="000265E9">
      <w:pPr>
        <w:pStyle w:val="Heading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w:t>
      </w:r>
      <w:r w:rsidR="00BF6F5D">
        <w:lastRenderedPageBreak/>
        <w:t xml:space="preserve">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(i)</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Heading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lastRenderedPageBreak/>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 xml:space="preserve">Only activities undertaken before the date when the termination takes effect must be taken into account. Where the grant takes the form of reimbursement of costs actually incurred as provided for in Article I.3.2(a)(i),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Heading2"/>
      </w:pPr>
      <w:bookmarkStart w:id="85" w:name="_Toc441250855"/>
      <w:bookmarkStart w:id="86"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5"/>
      <w:bookmarkEnd w:id="86"/>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Heading1"/>
      </w:pPr>
      <w:bookmarkStart w:id="87" w:name="_Toc441250856"/>
      <w:bookmarkStart w:id="88" w:name="_Toc530496950"/>
      <w:r w:rsidRPr="00345713">
        <w:lastRenderedPageBreak/>
        <w:t xml:space="preserve">PART B </w:t>
      </w:r>
      <w:r w:rsidR="00345713">
        <w:rPr>
          <w:rFonts w:hint="eastAsia"/>
        </w:rPr>
        <w:t>—</w:t>
      </w:r>
      <w:r w:rsidRPr="00345713">
        <w:t xml:space="preserve"> FINANCIAL PROVISIONS</w:t>
      </w:r>
      <w:bookmarkEnd w:id="87"/>
      <w:bookmarkEnd w:id="88"/>
    </w:p>
    <w:p w14:paraId="78AD098F" w14:textId="77777777" w:rsidR="00171637" w:rsidRPr="00345713" w:rsidRDefault="000A4F91" w:rsidP="000265E9">
      <w:pPr>
        <w:pStyle w:val="Heading2"/>
      </w:pPr>
      <w:bookmarkStart w:id="89" w:name="_Toc441250857"/>
      <w:bookmarkStart w:id="90"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89"/>
      <w:bookmarkEnd w:id="90"/>
    </w:p>
    <w:p w14:paraId="78AD0990" w14:textId="77777777" w:rsidR="00171637" w:rsidRPr="00345713" w:rsidRDefault="00171637" w:rsidP="000265E9">
      <w:pPr>
        <w:pStyle w:val="Heading3"/>
      </w:pPr>
      <w:bookmarkStart w:id="91" w:name="_Toc441250858"/>
      <w:bookmarkStart w:id="92" w:name="_Toc530496952"/>
      <w:r w:rsidRPr="00345713">
        <w:t>II.19.1</w:t>
      </w:r>
      <w:r w:rsidRPr="00345713">
        <w:tab/>
        <w:t>Conditions for the eligibility of costs</w:t>
      </w:r>
      <w:bookmarkEnd w:id="91"/>
      <w:bookmarkEnd w:id="92"/>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Heading3"/>
      </w:pPr>
      <w:bookmarkStart w:id="93" w:name="_Toc441250859"/>
      <w:bookmarkStart w:id="94" w:name="_Toc530496953"/>
      <w:r w:rsidRPr="00345713">
        <w:t>II.19.2</w:t>
      </w:r>
      <w:r w:rsidRPr="00345713">
        <w:tab/>
        <w:t xml:space="preserve">Eligible </w:t>
      </w:r>
      <w:r w:rsidR="00503DE9" w:rsidRPr="00345713">
        <w:t>direct costs</w:t>
      </w:r>
      <w:bookmarkEnd w:id="93"/>
      <w:bookmarkEnd w:id="94"/>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Heading3"/>
      </w:pPr>
      <w:bookmarkStart w:id="95" w:name="_Toc441250860"/>
      <w:bookmarkStart w:id="96" w:name="_Toc530496954"/>
      <w:r w:rsidRPr="00345713">
        <w:lastRenderedPageBreak/>
        <w:t>II.19.3</w:t>
      </w:r>
      <w:r w:rsidRPr="00345713">
        <w:tab/>
        <w:t>Eligible in</w:t>
      </w:r>
      <w:r w:rsidR="00503DE9" w:rsidRPr="00345713">
        <w:t>direct costs</w:t>
      </w:r>
      <w:bookmarkEnd w:id="95"/>
      <w:bookmarkEnd w:id="96"/>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Heading3"/>
      </w:pPr>
      <w:bookmarkStart w:id="97" w:name="_Toc441250861"/>
      <w:bookmarkStart w:id="98" w:name="_Toc530496955"/>
      <w:r w:rsidRPr="00345713">
        <w:t>II.19.4</w:t>
      </w:r>
      <w:r w:rsidRPr="00345713">
        <w:tab/>
      </w:r>
      <w:r w:rsidR="0021550D">
        <w:t xml:space="preserve"> </w:t>
      </w:r>
      <w:r w:rsidRPr="00345713">
        <w:t>Ineligible costs</w:t>
      </w:r>
      <w:bookmarkEnd w:id="97"/>
      <w:bookmarkEnd w:id="98"/>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Heading2"/>
      </w:pPr>
      <w:bookmarkStart w:id="99" w:name="_Toc441250862"/>
      <w:bookmarkStart w:id="100"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99"/>
      <w:bookmarkEnd w:id="100"/>
    </w:p>
    <w:p w14:paraId="78AD09C1" w14:textId="77777777" w:rsidR="00922B3E" w:rsidRPr="00345713" w:rsidRDefault="002A3D46" w:rsidP="002D4BBC">
      <w:pPr>
        <w:pStyle w:val="Heading3"/>
        <w:ind w:left="993" w:hanging="993"/>
      </w:pPr>
      <w:bookmarkStart w:id="101" w:name="_Toc441250863"/>
      <w:bookmarkStart w:id="102" w:name="_Toc530496957"/>
      <w:r w:rsidRPr="00345713">
        <w:t xml:space="preserve">II.20.1 </w:t>
      </w:r>
      <w:r w:rsidR="002D4BBC">
        <w:tab/>
      </w:r>
      <w:r w:rsidR="00922B3E" w:rsidRPr="00345713">
        <w:t>Declaring costs and contributions</w:t>
      </w:r>
      <w:bookmarkEnd w:id="101"/>
      <w:bookmarkEnd w:id="102"/>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stParagraph"/>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lastRenderedPageBreak/>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Heading3"/>
        <w:ind w:left="993" w:hanging="993"/>
      </w:pPr>
      <w:bookmarkStart w:id="103" w:name="_Toc441250864"/>
      <w:bookmarkStart w:id="104" w:name="_Toc530496958"/>
      <w:r w:rsidRPr="00345713">
        <w:t>II.20.2</w:t>
      </w:r>
      <w:r w:rsidR="00AE4F1A" w:rsidRPr="00345713">
        <w:tab/>
      </w:r>
      <w:r w:rsidR="00922B3E" w:rsidRPr="00345713">
        <w:t>Records and other documentation to support the c</w:t>
      </w:r>
      <w:r w:rsidR="00691906" w:rsidRPr="00345713">
        <w:t>osts and contributions declared</w:t>
      </w:r>
      <w:bookmarkEnd w:id="103"/>
      <w:bookmarkEnd w:id="104"/>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lastRenderedPageBreak/>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Heading3"/>
      </w:pPr>
      <w:bookmarkStart w:id="105" w:name="_Toc441250865"/>
      <w:bookmarkStart w:id="106" w:name="_Toc530496959"/>
      <w:r w:rsidRPr="00345713">
        <w:t xml:space="preserve">II.20.3 Conditions </w:t>
      </w:r>
      <w:r w:rsidR="00364E56">
        <w:t>to determine the</w:t>
      </w:r>
      <w:r w:rsidR="00364E56" w:rsidRPr="00345713">
        <w:t xml:space="preserve"> </w:t>
      </w:r>
      <w:r w:rsidRPr="00345713">
        <w:t>compliance of cost accounting practices</w:t>
      </w:r>
      <w:bookmarkEnd w:id="105"/>
      <w:bookmarkEnd w:id="106"/>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Heading2"/>
      </w:pPr>
      <w:bookmarkStart w:id="107" w:name="_Toc441250866"/>
      <w:bookmarkStart w:id="108" w:name="_Toc530496960"/>
      <w:r w:rsidRPr="00345713">
        <w:lastRenderedPageBreak/>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7"/>
      <w:bookmarkEnd w:id="108"/>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Heading2"/>
      </w:pPr>
      <w:bookmarkStart w:id="109" w:name="_Toc441250867"/>
      <w:bookmarkStart w:id="110"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09"/>
      <w:bookmarkEnd w:id="110"/>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Heading2"/>
      </w:pPr>
      <w:bookmarkStart w:id="111" w:name="_Toc441250868"/>
      <w:bookmarkStart w:id="112"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1"/>
      <w:bookmarkEnd w:id="112"/>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Heading2"/>
      </w:pPr>
      <w:bookmarkStart w:id="113" w:name="_Toc441250869"/>
      <w:bookmarkStart w:id="114"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3"/>
      <w:bookmarkEnd w:id="114"/>
    </w:p>
    <w:p w14:paraId="78AD09F5" w14:textId="77777777" w:rsidR="00B43219" w:rsidRPr="00345713" w:rsidRDefault="00B43219" w:rsidP="002740CE">
      <w:pPr>
        <w:pStyle w:val="Heading3"/>
      </w:pPr>
      <w:bookmarkStart w:id="115" w:name="_Toc441250870"/>
      <w:bookmarkStart w:id="116" w:name="_Toc530496964"/>
      <w:r w:rsidRPr="00345713">
        <w:t>II.24.1 Suspension of payments</w:t>
      </w:r>
      <w:bookmarkEnd w:id="115"/>
      <w:bookmarkEnd w:id="116"/>
      <w:r w:rsidRPr="00345713">
        <w:t xml:space="preserve">  </w:t>
      </w:r>
    </w:p>
    <w:p w14:paraId="78AD09F6" w14:textId="77777777" w:rsidR="00B336BD" w:rsidRPr="00345713" w:rsidRDefault="0031162A" w:rsidP="002740CE">
      <w:pPr>
        <w:pStyle w:val="Heading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lastRenderedPageBreak/>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Heading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CommentReference"/>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Heading4"/>
      </w:pPr>
      <w:r w:rsidRPr="00345713">
        <w:t>II.24.1.3 Effects of suspension</w:t>
      </w:r>
    </w:p>
    <w:p w14:paraId="78AD0A0A" w14:textId="77777777" w:rsidR="00274B9E" w:rsidRPr="00345713" w:rsidRDefault="00171637" w:rsidP="00AE4F1A">
      <w:r w:rsidRPr="00345713">
        <w:lastRenderedPageBreak/>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Heading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Heading3"/>
      </w:pPr>
      <w:bookmarkStart w:id="117" w:name="_Toc441250871"/>
      <w:bookmarkStart w:id="118" w:name="_Toc530496965"/>
      <w:r w:rsidRPr="00345713">
        <w:t>II.24.2 Suspension of the time limit for payments</w:t>
      </w:r>
      <w:bookmarkEnd w:id="117"/>
      <w:bookmarkEnd w:id="118"/>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w:t>
      </w:r>
      <w:r w:rsidRPr="00345713">
        <w:lastRenderedPageBreak/>
        <w:t xml:space="preserve">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Heading2"/>
      </w:pPr>
      <w:bookmarkStart w:id="119" w:name="_Toc441250872"/>
      <w:bookmarkStart w:id="120"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19"/>
      <w:bookmarkEnd w:id="120"/>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Heading3"/>
        <w:ind w:left="993" w:hanging="993"/>
        <w:jc w:val="both"/>
      </w:pPr>
      <w:bookmarkStart w:id="121" w:name="_Toc441250873"/>
      <w:bookmarkStart w:id="122"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1"/>
      <w:bookmarkEnd w:id="122"/>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(i)</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(i)</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lastRenderedPageBreak/>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Heading3"/>
        <w:ind w:left="993" w:hanging="993"/>
        <w:jc w:val="both"/>
      </w:pPr>
      <w:bookmarkStart w:id="123" w:name="_Toc441250874"/>
      <w:bookmarkStart w:id="124"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3"/>
      <w:bookmarkEnd w:id="124"/>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Heading3"/>
        <w:ind w:left="993" w:hanging="993"/>
        <w:jc w:val="both"/>
      </w:pPr>
      <w:bookmarkStart w:id="125" w:name="_Toc441250875"/>
      <w:bookmarkStart w:id="126"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5"/>
      <w:bookmarkEnd w:id="126"/>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lastRenderedPageBreak/>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I.3.2(a)(i)</w:t>
      </w:r>
      <w:r w:rsidR="00A655B5" w:rsidRPr="00A655B5">
        <w:t>.</w:t>
      </w:r>
    </w:p>
    <w:p w14:paraId="78AD0A42" w14:textId="77777777" w:rsidR="00171637" w:rsidRPr="00345713" w:rsidRDefault="00171637" w:rsidP="009D282C">
      <w:pPr>
        <w:pStyle w:val="Heading3"/>
        <w:ind w:left="993" w:hanging="993"/>
        <w:jc w:val="both"/>
      </w:pPr>
      <w:bookmarkStart w:id="127" w:name="_Toc441250876"/>
      <w:bookmarkStart w:id="128"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7"/>
      <w:bookmarkEnd w:id="128"/>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lastRenderedPageBreak/>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Heading2"/>
      </w:pPr>
      <w:bookmarkStart w:id="129" w:name="_Toc441250877"/>
      <w:bookmarkStart w:id="130"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29"/>
      <w:bookmarkEnd w:id="130"/>
    </w:p>
    <w:p w14:paraId="78AD0A51" w14:textId="77777777" w:rsidR="00A60B44" w:rsidRPr="00345713" w:rsidRDefault="00171637" w:rsidP="007F5C0C">
      <w:pPr>
        <w:pStyle w:val="Heading3"/>
        <w:tabs>
          <w:tab w:val="left" w:pos="851"/>
        </w:tabs>
      </w:pPr>
      <w:bookmarkStart w:id="131" w:name="_Toc441250878"/>
      <w:bookmarkStart w:id="132" w:name="_Toc530496972"/>
      <w:r w:rsidRPr="00345713">
        <w:t>II.</w:t>
      </w:r>
      <w:r w:rsidR="00F655E9" w:rsidRPr="00345713">
        <w:t>26</w:t>
      </w:r>
      <w:r w:rsidRPr="00345713">
        <w:t>.1</w:t>
      </w:r>
      <w:r w:rsidRPr="00345713">
        <w:tab/>
      </w:r>
      <w:r w:rsidR="00A60B44" w:rsidRPr="00345713">
        <w:t>Recovery at the time of payment of the balance</w:t>
      </w:r>
      <w:bookmarkEnd w:id="131"/>
      <w:bookmarkEnd w:id="132"/>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Heading3"/>
        <w:tabs>
          <w:tab w:val="left" w:pos="851"/>
        </w:tabs>
      </w:pPr>
      <w:bookmarkStart w:id="133" w:name="_Toc441250879"/>
      <w:bookmarkStart w:id="134" w:name="_Toc530496973"/>
      <w:r w:rsidRPr="00345713">
        <w:t>II.2</w:t>
      </w:r>
      <w:r w:rsidR="00F655E9" w:rsidRPr="00345713">
        <w:t>6</w:t>
      </w:r>
      <w:r w:rsidRPr="00345713">
        <w:t>.2</w:t>
      </w:r>
      <w:r w:rsidRPr="00345713">
        <w:tab/>
        <w:t>Recovery after payment of the balance</w:t>
      </w:r>
      <w:bookmarkEnd w:id="133"/>
      <w:bookmarkEnd w:id="134"/>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Heading3"/>
        <w:tabs>
          <w:tab w:val="left" w:pos="851"/>
        </w:tabs>
      </w:pPr>
      <w:bookmarkStart w:id="135" w:name="_Toc441250880"/>
      <w:bookmarkStart w:id="136"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5"/>
      <w:bookmarkEnd w:id="136"/>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lastRenderedPageBreak/>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Heading3"/>
        <w:tabs>
          <w:tab w:val="left" w:pos="851"/>
        </w:tabs>
      </w:pPr>
      <w:bookmarkStart w:id="137" w:name="_Toc441250881"/>
      <w:bookmarkStart w:id="138"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7"/>
      <w:bookmarkEnd w:id="138"/>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Heading3"/>
        <w:tabs>
          <w:tab w:val="left" w:pos="851"/>
        </w:tabs>
      </w:pPr>
      <w:bookmarkStart w:id="139" w:name="_Toc441250882"/>
      <w:bookmarkStart w:id="140" w:name="_Toc530496976"/>
      <w:r w:rsidRPr="00345713">
        <w:t>II.</w:t>
      </w:r>
      <w:r w:rsidR="00F655E9" w:rsidRPr="00345713">
        <w:t>26</w:t>
      </w:r>
      <w:r w:rsidRPr="00345713">
        <w:t>.</w:t>
      </w:r>
      <w:r w:rsidR="009B6CEB" w:rsidRPr="00345713">
        <w:t>5</w:t>
      </w:r>
      <w:r w:rsidRPr="00345713">
        <w:tab/>
      </w:r>
      <w:r w:rsidR="009B6CEB" w:rsidRPr="00345713">
        <w:t>Bank charges</w:t>
      </w:r>
      <w:bookmarkEnd w:id="139"/>
      <w:bookmarkEnd w:id="140"/>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ootnoteReference"/>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Heading2"/>
      </w:pPr>
      <w:bookmarkStart w:id="141" w:name="_Toc441250883"/>
      <w:bookmarkStart w:id="142"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1"/>
      <w:bookmarkEnd w:id="142"/>
    </w:p>
    <w:p w14:paraId="78AD0A69" w14:textId="77777777" w:rsidR="00171637" w:rsidRPr="00345713" w:rsidRDefault="00171637" w:rsidP="00E24A37">
      <w:pPr>
        <w:pStyle w:val="Heading3"/>
        <w:ind w:left="1134" w:hanging="1134"/>
      </w:pPr>
      <w:bookmarkStart w:id="143" w:name="_Toc441250884"/>
      <w:bookmarkStart w:id="144"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3"/>
      <w:bookmarkEnd w:id="144"/>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lastRenderedPageBreak/>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Heading3"/>
        <w:ind w:left="1134" w:hanging="1134"/>
      </w:pPr>
      <w:bookmarkStart w:id="145" w:name="_Toc441250885"/>
      <w:bookmarkStart w:id="146" w:name="_Toc530496979"/>
      <w:r w:rsidRPr="00345713">
        <w:t>II.</w:t>
      </w:r>
      <w:r w:rsidR="00F655E9" w:rsidRPr="00345713">
        <w:t>27</w:t>
      </w:r>
      <w:r w:rsidRPr="00345713">
        <w:t xml:space="preserve">.2 </w:t>
      </w:r>
      <w:r w:rsidR="00E24A37">
        <w:tab/>
      </w:r>
      <w:r w:rsidRPr="00345713">
        <w:t>Duty to keep documents</w:t>
      </w:r>
      <w:bookmarkEnd w:id="145"/>
      <w:bookmarkEnd w:id="146"/>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Heading3"/>
        <w:ind w:left="1134" w:hanging="1134"/>
      </w:pPr>
      <w:bookmarkStart w:id="147" w:name="_Toc441250886"/>
      <w:bookmarkStart w:id="148" w:name="_Toc530496980"/>
      <w:r w:rsidRPr="00345713">
        <w:t>II.</w:t>
      </w:r>
      <w:r w:rsidR="00F655E9" w:rsidRPr="00345713">
        <w:t>27</w:t>
      </w:r>
      <w:r w:rsidRPr="00345713">
        <w:t xml:space="preserve">.3 </w:t>
      </w:r>
      <w:r w:rsidR="00E24A37">
        <w:tab/>
      </w:r>
      <w:r w:rsidRPr="00345713">
        <w:t>Obligation to provide information</w:t>
      </w:r>
      <w:bookmarkEnd w:id="147"/>
      <w:bookmarkEnd w:id="148"/>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Heading3"/>
        <w:ind w:left="1134" w:hanging="1134"/>
      </w:pPr>
      <w:bookmarkStart w:id="149" w:name="_Toc441250887"/>
      <w:bookmarkStart w:id="150" w:name="_Toc530496981"/>
      <w:r w:rsidRPr="00345713">
        <w:t>II.</w:t>
      </w:r>
      <w:r w:rsidR="00F655E9" w:rsidRPr="00345713">
        <w:t>27</w:t>
      </w:r>
      <w:r w:rsidRPr="00345713">
        <w:t>.4</w:t>
      </w:r>
      <w:r w:rsidRPr="00345713">
        <w:tab/>
        <w:t>On-the-spot visits</w:t>
      </w:r>
      <w:bookmarkEnd w:id="149"/>
      <w:bookmarkEnd w:id="150"/>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lastRenderedPageBreak/>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Heading3"/>
        <w:ind w:left="1134" w:hanging="1134"/>
      </w:pPr>
      <w:bookmarkStart w:id="151" w:name="_Toc441250888"/>
      <w:bookmarkStart w:id="152" w:name="_Toc530496982"/>
      <w:r w:rsidRPr="00345713">
        <w:t>II.</w:t>
      </w:r>
      <w:r w:rsidR="00F655E9" w:rsidRPr="00345713">
        <w:t>27</w:t>
      </w:r>
      <w:r w:rsidRPr="00345713">
        <w:t>.5</w:t>
      </w:r>
      <w:r w:rsidRPr="00345713">
        <w:tab/>
      </w:r>
      <w:r w:rsidRPr="00263941">
        <w:t>Contradictory audit procedure</w:t>
      </w:r>
      <w:bookmarkEnd w:id="151"/>
      <w:bookmarkEnd w:id="152"/>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Heading3"/>
        <w:ind w:left="1134" w:hanging="1134"/>
      </w:pPr>
      <w:bookmarkStart w:id="153" w:name="_Toc441250889"/>
      <w:bookmarkStart w:id="154" w:name="_Toc530496983"/>
      <w:r w:rsidRPr="00345713">
        <w:t>II.</w:t>
      </w:r>
      <w:r w:rsidR="00F655E9" w:rsidRPr="00345713">
        <w:t>27</w:t>
      </w:r>
      <w:r w:rsidRPr="00345713">
        <w:t xml:space="preserve">.6 </w:t>
      </w:r>
      <w:r w:rsidR="00E24A37">
        <w:tab/>
      </w:r>
      <w:r w:rsidRPr="00345713">
        <w:t>Effects of audit findings</w:t>
      </w:r>
      <w:bookmarkEnd w:id="153"/>
      <w:bookmarkEnd w:id="154"/>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Heading3"/>
        <w:ind w:left="1134" w:hanging="1134"/>
      </w:pPr>
      <w:bookmarkStart w:id="155" w:name="_Toc441250890"/>
      <w:bookmarkStart w:id="156"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5"/>
      <w:bookmarkEnd w:id="156"/>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 xml:space="preserve">breach of </w:t>
      </w:r>
      <w:r w:rsidR="00776B38" w:rsidRPr="00102EE4">
        <w:rPr>
          <w:i/>
        </w:rPr>
        <w:lastRenderedPageBreak/>
        <w:t>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lastRenderedPageBreak/>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Heading3"/>
        <w:ind w:left="1134" w:hanging="1134"/>
      </w:pPr>
      <w:bookmarkStart w:id="157" w:name="_Toc441250891"/>
      <w:bookmarkStart w:id="158"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7"/>
      <w:bookmarkEnd w:id="158"/>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FootnoteReference"/>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FootnoteReference"/>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lastRenderedPageBreak/>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Heading3"/>
        <w:ind w:left="1134" w:hanging="1134"/>
      </w:pPr>
      <w:bookmarkStart w:id="159" w:name="_Toc441250892"/>
      <w:bookmarkStart w:id="160"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59"/>
      <w:r w:rsidR="007C2238">
        <w:t xml:space="preserve"> and EPPO</w:t>
      </w:r>
      <w:bookmarkEnd w:id="160"/>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FootnoteReference"/>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91B4" w14:textId="77777777" w:rsidR="003975B6" w:rsidRPr="00345713" w:rsidRDefault="003975B6" w:rsidP="009533DC">
      <w:pPr>
        <w:spacing w:after="0"/>
      </w:pPr>
      <w:r w:rsidRPr="00345713">
        <w:separator/>
      </w:r>
    </w:p>
  </w:endnote>
  <w:endnote w:type="continuationSeparator" w:id="0">
    <w:p w14:paraId="2135653A" w14:textId="77777777" w:rsidR="003975B6" w:rsidRPr="00345713" w:rsidRDefault="003975B6"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0AEA" w14:textId="1C81BF4F" w:rsidR="00DC1303" w:rsidRPr="00345713" w:rsidRDefault="00DC1303" w:rsidP="00BF4ABF">
    <w:pPr>
      <w:pStyle w:val="Footer"/>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08C9" w14:textId="77777777" w:rsidR="003975B6" w:rsidRPr="00345713" w:rsidRDefault="003975B6" w:rsidP="009533DC">
      <w:pPr>
        <w:spacing w:after="0"/>
      </w:pPr>
      <w:r w:rsidRPr="00345713">
        <w:separator/>
      </w:r>
    </w:p>
  </w:footnote>
  <w:footnote w:type="continuationSeparator" w:id="0">
    <w:p w14:paraId="3A6BF2A6" w14:textId="77777777" w:rsidR="003975B6" w:rsidRPr="00345713" w:rsidRDefault="003975B6"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FootnoteReference"/>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FootnoteText"/>
      </w:pPr>
      <w:r>
        <w:rPr>
          <w:rStyle w:val="FootnoteReference"/>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FootnoteText"/>
      </w:pPr>
      <w:r>
        <w:rPr>
          <w:rStyle w:val="FootnoteReference"/>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FootnoteText"/>
      </w:pPr>
    </w:p>
  </w:footnote>
  <w:footnote w:id="4">
    <w:p w14:paraId="78AD0B0F" w14:textId="77777777" w:rsidR="00DC1303" w:rsidRPr="00345713" w:rsidRDefault="00DC1303" w:rsidP="00470847">
      <w:pPr>
        <w:pStyle w:val="FootnoteText"/>
      </w:pPr>
      <w:r w:rsidRPr="00345713">
        <w:rPr>
          <w:rStyle w:val="FootnoteReference"/>
        </w:rPr>
        <w:footnoteRef/>
      </w:r>
      <w:r w:rsidRPr="00345713">
        <w:t xml:space="preserve"> </w:t>
      </w:r>
      <w:r w:rsidRPr="00345713">
        <w:rPr>
          <w:bCs/>
        </w:rPr>
        <w:t>Directive 2007/64/EC</w:t>
      </w:r>
      <w:r w:rsidRPr="00345713">
        <w:rPr>
          <w:rStyle w:val="FootnoteReference"/>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FootnoteText"/>
      </w:pPr>
      <w:r w:rsidRPr="00345713">
        <w:rPr>
          <w:rStyle w:val="FootnoteReference"/>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FootnoteText"/>
      </w:pPr>
      <w:r w:rsidRPr="00345713">
        <w:rPr>
          <w:rStyle w:val="FootnoteReference"/>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FootnoteText"/>
      </w:pPr>
      <w:r>
        <w:rPr>
          <w:rStyle w:val="FootnoteReference"/>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0AE7" w14:textId="77777777" w:rsidR="00DC1303" w:rsidRDefault="00DC1303" w:rsidP="00D66071">
    <w:pPr>
      <w:pStyle w:val="Header"/>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Header"/>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633124">
    <w:abstractNumId w:val="48"/>
  </w:num>
  <w:num w:numId="2" w16cid:durableId="1110666562">
    <w:abstractNumId w:val="16"/>
  </w:num>
  <w:num w:numId="3" w16cid:durableId="189883636">
    <w:abstractNumId w:val="53"/>
  </w:num>
  <w:num w:numId="4" w16cid:durableId="976691878">
    <w:abstractNumId w:val="94"/>
  </w:num>
  <w:num w:numId="5" w16cid:durableId="881020990">
    <w:abstractNumId w:val="20"/>
  </w:num>
  <w:num w:numId="6" w16cid:durableId="769089038">
    <w:abstractNumId w:val="65"/>
  </w:num>
  <w:num w:numId="7" w16cid:durableId="1985549159">
    <w:abstractNumId w:val="44"/>
  </w:num>
  <w:num w:numId="8" w16cid:durableId="1308123632">
    <w:abstractNumId w:val="17"/>
  </w:num>
  <w:num w:numId="9" w16cid:durableId="1393843826">
    <w:abstractNumId w:val="10"/>
  </w:num>
  <w:num w:numId="10" w16cid:durableId="118037293">
    <w:abstractNumId w:val="4"/>
  </w:num>
  <w:num w:numId="11" w16cid:durableId="767850385">
    <w:abstractNumId w:val="34"/>
  </w:num>
  <w:num w:numId="12" w16cid:durableId="1025521157">
    <w:abstractNumId w:val="90"/>
  </w:num>
  <w:num w:numId="13" w16cid:durableId="426385022">
    <w:abstractNumId w:val="49"/>
  </w:num>
  <w:num w:numId="14" w16cid:durableId="1244560128">
    <w:abstractNumId w:val="30"/>
  </w:num>
  <w:num w:numId="15" w16cid:durableId="1963489348">
    <w:abstractNumId w:val="63"/>
  </w:num>
  <w:num w:numId="16" w16cid:durableId="791946515">
    <w:abstractNumId w:val="82"/>
  </w:num>
  <w:num w:numId="17" w16cid:durableId="1531844540">
    <w:abstractNumId w:val="7"/>
  </w:num>
  <w:num w:numId="18" w16cid:durableId="608514397">
    <w:abstractNumId w:val="57"/>
  </w:num>
  <w:num w:numId="19" w16cid:durableId="1003585522">
    <w:abstractNumId w:val="91"/>
  </w:num>
  <w:num w:numId="20" w16cid:durableId="189028701">
    <w:abstractNumId w:val="84"/>
  </w:num>
  <w:num w:numId="21" w16cid:durableId="156849178">
    <w:abstractNumId w:val="37"/>
  </w:num>
  <w:num w:numId="22" w16cid:durableId="710228787">
    <w:abstractNumId w:val="54"/>
  </w:num>
  <w:num w:numId="23" w16cid:durableId="530996280">
    <w:abstractNumId w:val="93"/>
  </w:num>
  <w:num w:numId="24" w16cid:durableId="1909221282">
    <w:abstractNumId w:val="60"/>
  </w:num>
  <w:num w:numId="25" w16cid:durableId="1226333928">
    <w:abstractNumId w:val="61"/>
  </w:num>
  <w:num w:numId="26" w16cid:durableId="2109232051">
    <w:abstractNumId w:val="38"/>
  </w:num>
  <w:num w:numId="27" w16cid:durableId="257368548">
    <w:abstractNumId w:val="18"/>
  </w:num>
  <w:num w:numId="28" w16cid:durableId="172231828">
    <w:abstractNumId w:val="14"/>
  </w:num>
  <w:num w:numId="29" w16cid:durableId="1743718000">
    <w:abstractNumId w:val="75"/>
  </w:num>
  <w:num w:numId="30" w16cid:durableId="189077070">
    <w:abstractNumId w:val="89"/>
  </w:num>
  <w:num w:numId="31" w16cid:durableId="805051385">
    <w:abstractNumId w:val="22"/>
  </w:num>
  <w:num w:numId="32" w16cid:durableId="1818568434">
    <w:abstractNumId w:val="66"/>
  </w:num>
  <w:num w:numId="33" w16cid:durableId="983899094">
    <w:abstractNumId w:val="68"/>
  </w:num>
  <w:num w:numId="34" w16cid:durableId="248080850">
    <w:abstractNumId w:val="96"/>
  </w:num>
  <w:num w:numId="35" w16cid:durableId="1819614570">
    <w:abstractNumId w:val="87"/>
  </w:num>
  <w:num w:numId="36" w16cid:durableId="1596982099">
    <w:abstractNumId w:val="42"/>
  </w:num>
  <w:num w:numId="37" w16cid:durableId="1005131405">
    <w:abstractNumId w:val="1"/>
  </w:num>
  <w:num w:numId="38" w16cid:durableId="24598832">
    <w:abstractNumId w:val="33"/>
  </w:num>
  <w:num w:numId="39" w16cid:durableId="1652707396">
    <w:abstractNumId w:val="79"/>
  </w:num>
  <w:num w:numId="40" w16cid:durableId="621811537">
    <w:abstractNumId w:val="70"/>
  </w:num>
  <w:num w:numId="41" w16cid:durableId="1507590933">
    <w:abstractNumId w:val="29"/>
  </w:num>
  <w:num w:numId="42" w16cid:durableId="813370853">
    <w:abstractNumId w:val="51"/>
  </w:num>
  <w:num w:numId="43" w16cid:durableId="1504125434">
    <w:abstractNumId w:val="73"/>
  </w:num>
  <w:num w:numId="44" w16cid:durableId="401567604">
    <w:abstractNumId w:val="55"/>
  </w:num>
  <w:num w:numId="45" w16cid:durableId="1091393165">
    <w:abstractNumId w:val="83"/>
  </w:num>
  <w:num w:numId="46" w16cid:durableId="430972872">
    <w:abstractNumId w:val="12"/>
  </w:num>
  <w:num w:numId="47" w16cid:durableId="356009185">
    <w:abstractNumId w:val="11"/>
  </w:num>
  <w:num w:numId="48" w16cid:durableId="1026715758">
    <w:abstractNumId w:val="41"/>
  </w:num>
  <w:num w:numId="49" w16cid:durableId="1923176218">
    <w:abstractNumId w:val="0"/>
  </w:num>
  <w:num w:numId="50" w16cid:durableId="681710453">
    <w:abstractNumId w:val="69"/>
  </w:num>
  <w:num w:numId="51" w16cid:durableId="971977584">
    <w:abstractNumId w:val="31"/>
  </w:num>
  <w:num w:numId="52" w16cid:durableId="1704939686">
    <w:abstractNumId w:val="59"/>
  </w:num>
  <w:num w:numId="53" w16cid:durableId="813448826">
    <w:abstractNumId w:val="64"/>
  </w:num>
  <w:num w:numId="54" w16cid:durableId="2118133341">
    <w:abstractNumId w:val="62"/>
  </w:num>
  <w:num w:numId="55" w16cid:durableId="1244267695">
    <w:abstractNumId w:val="80"/>
  </w:num>
  <w:num w:numId="56" w16cid:durableId="1694110515">
    <w:abstractNumId w:val="3"/>
  </w:num>
  <w:num w:numId="57" w16cid:durableId="1488939213">
    <w:abstractNumId w:val="72"/>
  </w:num>
  <w:num w:numId="58" w16cid:durableId="443043155">
    <w:abstractNumId w:val="81"/>
  </w:num>
  <w:num w:numId="59" w16cid:durableId="513107397">
    <w:abstractNumId w:val="8"/>
  </w:num>
  <w:num w:numId="60" w16cid:durableId="818113331">
    <w:abstractNumId w:val="50"/>
  </w:num>
  <w:num w:numId="61" w16cid:durableId="483089386">
    <w:abstractNumId w:val="36"/>
  </w:num>
  <w:num w:numId="62" w16cid:durableId="165752104">
    <w:abstractNumId w:val="26"/>
  </w:num>
  <w:num w:numId="63" w16cid:durableId="303704485">
    <w:abstractNumId w:val="88"/>
  </w:num>
  <w:num w:numId="64" w16cid:durableId="1841306662">
    <w:abstractNumId w:val="27"/>
  </w:num>
  <w:num w:numId="65" w16cid:durableId="1702589937">
    <w:abstractNumId w:val="86"/>
  </w:num>
  <w:num w:numId="66" w16cid:durableId="1921056926">
    <w:abstractNumId w:val="19"/>
  </w:num>
  <w:num w:numId="67" w16cid:durableId="1550417540">
    <w:abstractNumId w:val="95"/>
  </w:num>
  <w:num w:numId="68" w16cid:durableId="1932352742">
    <w:abstractNumId w:val="92"/>
  </w:num>
  <w:num w:numId="69" w16cid:durableId="828057960">
    <w:abstractNumId w:val="74"/>
  </w:num>
  <w:num w:numId="70" w16cid:durableId="1084647702">
    <w:abstractNumId w:val="9"/>
  </w:num>
  <w:num w:numId="71" w16cid:durableId="468134790">
    <w:abstractNumId w:val="23"/>
  </w:num>
  <w:num w:numId="72" w16cid:durableId="628318276">
    <w:abstractNumId w:val="5"/>
  </w:num>
  <w:num w:numId="73" w16cid:durableId="743189264">
    <w:abstractNumId w:val="25"/>
  </w:num>
  <w:num w:numId="74" w16cid:durableId="879244776">
    <w:abstractNumId w:val="32"/>
  </w:num>
  <w:num w:numId="75" w16cid:durableId="1140269535">
    <w:abstractNumId w:val="39"/>
  </w:num>
  <w:num w:numId="76" w16cid:durableId="369645193">
    <w:abstractNumId w:val="6"/>
  </w:num>
  <w:num w:numId="77" w16cid:durableId="245193753">
    <w:abstractNumId w:val="21"/>
  </w:num>
  <w:num w:numId="78" w16cid:durableId="1764763466">
    <w:abstractNumId w:val="71"/>
  </w:num>
  <w:num w:numId="79" w16cid:durableId="1045833043">
    <w:abstractNumId w:val="56"/>
  </w:num>
  <w:num w:numId="80" w16cid:durableId="2117015795">
    <w:abstractNumId w:val="43"/>
  </w:num>
  <w:num w:numId="81" w16cid:durableId="1876769065">
    <w:abstractNumId w:val="46"/>
  </w:num>
  <w:num w:numId="82" w16cid:durableId="1938295066">
    <w:abstractNumId w:val="58"/>
  </w:num>
  <w:num w:numId="83" w16cid:durableId="2137216858">
    <w:abstractNumId w:val="35"/>
  </w:num>
  <w:num w:numId="84" w16cid:durableId="8219731">
    <w:abstractNumId w:val="28"/>
  </w:num>
  <w:num w:numId="85" w16cid:durableId="1223057441">
    <w:abstractNumId w:val="15"/>
  </w:num>
  <w:num w:numId="86" w16cid:durableId="257715431">
    <w:abstractNumId w:val="13"/>
  </w:num>
  <w:num w:numId="87" w16cid:durableId="574048657">
    <w:abstractNumId w:val="76"/>
  </w:num>
  <w:num w:numId="88" w16cid:durableId="1729836423">
    <w:abstractNumId w:val="78"/>
  </w:num>
  <w:num w:numId="89" w16cid:durableId="1215391692">
    <w:abstractNumId w:val="77"/>
  </w:num>
  <w:num w:numId="90" w16cid:durableId="1616717823">
    <w:abstractNumId w:val="85"/>
  </w:num>
  <w:num w:numId="91" w16cid:durableId="195853832">
    <w:abstractNumId w:val="24"/>
  </w:num>
  <w:num w:numId="92" w16cid:durableId="1387797787">
    <w:abstractNumId w:val="40"/>
  </w:num>
  <w:num w:numId="93" w16cid:durableId="143475639">
    <w:abstractNumId w:val="47"/>
  </w:num>
  <w:num w:numId="94" w16cid:durableId="1900287746">
    <w:abstractNumId w:val="45"/>
  </w:num>
  <w:num w:numId="95" w16cid:durableId="1625651957">
    <w:abstractNumId w:val="2"/>
  </w:num>
  <w:num w:numId="96" w16cid:durableId="1190990582">
    <w:abstractNumId w:val="52"/>
  </w:num>
  <w:num w:numId="97" w16cid:durableId="994794426">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17AB4"/>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5B6"/>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77E61"/>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B27"/>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Props1.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3.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customXml/itemProps4.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docProps/app.xml><?xml version="1.0" encoding="utf-8"?>
<Properties xmlns="http://schemas.openxmlformats.org/officeDocument/2006/extended-properties" xmlns:vt="http://schemas.openxmlformats.org/officeDocument/2006/docPropsVTypes">
  <Template>NOT</Template>
  <TotalTime>0</TotalTime>
  <Pages>41</Pages>
  <Words>14348</Words>
  <Characters>81789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95946</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Stelios Ioannou</cp:lastModifiedBy>
  <cp:revision>2</cp:revision>
  <cp:lastPrinted>2019-04-15T09:10:00Z</cp:lastPrinted>
  <dcterms:created xsi:type="dcterms:W3CDTF">2024-06-17T09:17:00Z</dcterms:created>
  <dcterms:modified xsi:type="dcterms:W3CDTF">2024-06-17T09:17:00Z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